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B9" w:rsidRDefault="00452DEF">
      <w:pPr>
        <w:spacing w:before="2400" w:line="773" w:lineRule="exact"/>
        <w:jc w:val="center"/>
        <w:rPr>
          <w:rFonts w:ascii="宋体" w:eastAsia="宋体" w:hAnsi="宋体" w:cs="宋体"/>
          <w:b/>
          <w:bCs/>
          <w:sz w:val="36"/>
          <w:szCs w:val="36"/>
        </w:rPr>
      </w:pPr>
      <w:r>
        <w:rPr>
          <w:rFonts w:ascii="宋体" w:eastAsia="宋体" w:hAnsi="宋体" w:cs="宋体"/>
          <w:b/>
          <w:bCs/>
          <w:sz w:val="36"/>
          <w:szCs w:val="36"/>
        </w:rPr>
        <w:t>江苏华西村股份有限公司</w:t>
      </w:r>
    </w:p>
    <w:p w:rsidR="00BD1BB9" w:rsidRPr="006232B5" w:rsidRDefault="00452DEF">
      <w:pPr>
        <w:spacing w:before="1000" w:line="320" w:lineRule="exact"/>
        <w:jc w:val="center"/>
        <w:rPr>
          <w:rFonts w:ascii="宋体" w:eastAsia="宋体" w:hAnsi="宋体" w:cs="宋体"/>
          <w:b/>
          <w:bCs/>
          <w:sz w:val="36"/>
          <w:szCs w:val="36"/>
        </w:rPr>
      </w:pPr>
      <w:r w:rsidRPr="006232B5">
        <w:rPr>
          <w:rFonts w:ascii="宋体" w:eastAsia="宋体" w:hAnsi="宋体" w:cs="宋体"/>
          <w:b/>
          <w:bCs/>
          <w:sz w:val="36"/>
          <w:szCs w:val="36"/>
        </w:rPr>
        <w:t>2025年半年度报告</w:t>
      </w:r>
    </w:p>
    <w:p w:rsidR="00BD1BB9" w:rsidRDefault="00BD1BB9">
      <w:pPr>
        <w:spacing w:before="1000" w:line="240" w:lineRule="exact"/>
        <w:jc w:val="center"/>
        <w:rPr>
          <w:rFonts w:ascii="宋体" w:eastAsia="宋体" w:hAnsi="宋体" w:cs="宋体"/>
          <w:b/>
          <w:bCs/>
          <w:szCs w:val="21"/>
        </w:rPr>
      </w:pPr>
    </w:p>
    <w:p w:rsidR="00BD1BB9" w:rsidRDefault="00C87458">
      <w:pPr>
        <w:spacing w:before="1000" w:after="1000" w:line="0" w:lineRule="atLeast"/>
        <w:jc w:val="center"/>
        <w:rPr>
          <w:rFonts w:ascii="Times New Roman" w:eastAsia="宋体" w:hAnsi="Times New Roman" w:cs="Times New Roman"/>
        </w:rPr>
      </w:pPr>
      <w:r>
        <w:rPr>
          <w:noProof/>
        </w:rPr>
        <w:drawing>
          <wp:inline distT="0" distB="0" distL="0" distR="0" wp14:anchorId="7DF4BE75" wp14:editId="313B8F4F">
            <wp:extent cx="1524000" cy="89916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524" cy="897699"/>
                    </a:xfrm>
                    <a:prstGeom prst="rect">
                      <a:avLst/>
                    </a:prstGeom>
                    <a:noFill/>
                    <a:ln>
                      <a:noFill/>
                    </a:ln>
                  </pic:spPr>
                </pic:pic>
              </a:graphicData>
            </a:graphic>
          </wp:inline>
        </w:drawing>
      </w:r>
    </w:p>
    <w:p w:rsidR="00C87458" w:rsidRDefault="00C87458">
      <w:pPr>
        <w:spacing w:before="400" w:line="320" w:lineRule="exact"/>
        <w:jc w:val="center"/>
        <w:rPr>
          <w:rFonts w:ascii="宋体" w:eastAsia="宋体" w:hAnsi="宋体" w:cs="宋体"/>
          <w:b/>
          <w:bCs/>
          <w:sz w:val="32"/>
          <w:szCs w:val="32"/>
        </w:rPr>
      </w:pPr>
    </w:p>
    <w:p w:rsidR="00C87458" w:rsidRDefault="00C87458">
      <w:pPr>
        <w:spacing w:before="400" w:line="320" w:lineRule="exact"/>
        <w:jc w:val="center"/>
        <w:rPr>
          <w:rFonts w:ascii="宋体" w:eastAsia="宋体" w:hAnsi="宋体" w:cs="宋体"/>
          <w:b/>
          <w:bCs/>
          <w:sz w:val="32"/>
          <w:szCs w:val="32"/>
        </w:rPr>
      </w:pPr>
    </w:p>
    <w:p w:rsidR="00C87458" w:rsidRDefault="00C87458">
      <w:pPr>
        <w:spacing w:before="400" w:line="320" w:lineRule="exact"/>
        <w:jc w:val="center"/>
        <w:rPr>
          <w:rFonts w:ascii="宋体" w:eastAsia="宋体" w:hAnsi="宋体" w:cs="宋体"/>
          <w:b/>
          <w:bCs/>
          <w:sz w:val="32"/>
          <w:szCs w:val="32"/>
        </w:rPr>
      </w:pPr>
    </w:p>
    <w:p w:rsidR="00C87458" w:rsidRDefault="00C87458">
      <w:pPr>
        <w:spacing w:before="400" w:line="320" w:lineRule="exact"/>
        <w:jc w:val="center"/>
        <w:rPr>
          <w:rFonts w:ascii="宋体" w:eastAsia="宋体" w:hAnsi="宋体" w:cs="宋体"/>
          <w:b/>
          <w:bCs/>
          <w:sz w:val="32"/>
          <w:szCs w:val="32"/>
        </w:rPr>
      </w:pPr>
    </w:p>
    <w:p w:rsidR="00586773" w:rsidRDefault="00586773">
      <w:pPr>
        <w:spacing w:before="400" w:line="320" w:lineRule="exact"/>
        <w:jc w:val="center"/>
        <w:rPr>
          <w:rFonts w:ascii="宋体" w:eastAsia="宋体" w:hAnsi="宋体" w:cs="宋体"/>
          <w:b/>
          <w:bCs/>
          <w:sz w:val="32"/>
          <w:szCs w:val="32"/>
        </w:rPr>
      </w:pPr>
    </w:p>
    <w:p w:rsidR="00BD1BB9" w:rsidRPr="00586773" w:rsidRDefault="00C87458" w:rsidP="00586773">
      <w:pPr>
        <w:spacing w:before="400" w:line="320" w:lineRule="exact"/>
        <w:jc w:val="center"/>
        <w:rPr>
          <w:rFonts w:ascii="宋体" w:eastAsia="宋体" w:hAnsi="宋体" w:cs="宋体"/>
          <w:b/>
          <w:bCs/>
          <w:sz w:val="32"/>
          <w:szCs w:val="32"/>
        </w:rPr>
      </w:pPr>
      <w:r>
        <w:rPr>
          <w:rFonts w:ascii="宋体" w:eastAsia="宋体" w:hAnsi="宋体" w:cs="宋体" w:hint="eastAsia"/>
          <w:b/>
          <w:bCs/>
          <w:sz w:val="32"/>
          <w:szCs w:val="32"/>
        </w:rPr>
        <w:t>2025年8月</w:t>
      </w:r>
    </w:p>
    <w:p w:rsidR="00BD1BB9" w:rsidRDefault="00452DEF">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lastRenderedPageBreak/>
        <w:t>第一节 重要提示、目录和释义</w:t>
      </w:r>
      <w:bookmarkEnd w:id="0"/>
    </w:p>
    <w:p w:rsidR="00BD1BB9" w:rsidRDefault="00452DEF" w:rsidP="00C87458">
      <w:pPr>
        <w:spacing w:before="40" w:after="40" w:line="560" w:lineRule="exact"/>
        <w:ind w:firstLineChars="200" w:firstLine="562"/>
        <w:jc w:val="both"/>
        <w:rPr>
          <w:rFonts w:ascii="宋体" w:eastAsia="宋体" w:hAnsi="宋体" w:cs="宋体"/>
          <w:b/>
          <w:bCs/>
          <w:sz w:val="28"/>
          <w:szCs w:val="28"/>
        </w:rPr>
      </w:pPr>
      <w:r>
        <w:rPr>
          <w:rFonts w:ascii="宋体" w:eastAsia="宋体" w:hAnsi="宋体" w:cs="宋体"/>
          <w:b/>
          <w:bCs/>
          <w:sz w:val="28"/>
          <w:szCs w:val="28"/>
        </w:rPr>
        <w:t>公司董事会及董事</w:t>
      </w:r>
      <w:r w:rsidR="00CE2626">
        <w:rPr>
          <w:rFonts w:ascii="宋体" w:eastAsia="宋体" w:hAnsi="宋体" w:cs="宋体"/>
          <w:b/>
          <w:bCs/>
          <w:sz w:val="28"/>
          <w:szCs w:val="28"/>
        </w:rPr>
        <w:t>、</w:t>
      </w:r>
      <w:r>
        <w:rPr>
          <w:rFonts w:ascii="宋体" w:eastAsia="宋体" w:hAnsi="宋体" w:cs="宋体"/>
          <w:b/>
          <w:bCs/>
          <w:sz w:val="28"/>
          <w:szCs w:val="28"/>
        </w:rPr>
        <w:t>高级管理人员保证半年度报告内容的真实、准确、完整，不存在虚假记载、误导性陈述或者重大遗漏，并承担个别和连带的法律责任。</w:t>
      </w:r>
    </w:p>
    <w:p w:rsidR="00BD1BB9" w:rsidRDefault="00452DEF" w:rsidP="00C87458">
      <w:pPr>
        <w:spacing w:before="40" w:after="40" w:line="560" w:lineRule="exact"/>
        <w:ind w:firstLineChars="200" w:firstLine="562"/>
        <w:jc w:val="both"/>
        <w:rPr>
          <w:rFonts w:ascii="宋体" w:eastAsia="宋体" w:hAnsi="宋体" w:cs="宋体"/>
          <w:b/>
          <w:bCs/>
          <w:sz w:val="28"/>
          <w:szCs w:val="28"/>
        </w:rPr>
      </w:pPr>
      <w:r>
        <w:rPr>
          <w:rFonts w:ascii="宋体" w:eastAsia="宋体" w:hAnsi="宋体" w:cs="宋体"/>
          <w:b/>
          <w:bCs/>
          <w:sz w:val="28"/>
          <w:szCs w:val="28"/>
        </w:rPr>
        <w:t>公司负责人吴协恩、主管会计工作负责人李满良及会计机构负责人(会计主管人员)吴雅清声明：保证本半年度报告中财务报告的真实、准确、完整。</w:t>
      </w:r>
    </w:p>
    <w:p w:rsidR="00BD1BB9" w:rsidRDefault="00452DEF" w:rsidP="00C87458">
      <w:pPr>
        <w:spacing w:before="40" w:after="40" w:line="560" w:lineRule="exact"/>
        <w:ind w:firstLineChars="200" w:firstLine="562"/>
        <w:jc w:val="both"/>
        <w:rPr>
          <w:rFonts w:ascii="宋体" w:eastAsia="宋体" w:hAnsi="宋体" w:cs="宋体"/>
          <w:b/>
          <w:bCs/>
          <w:sz w:val="28"/>
          <w:szCs w:val="28"/>
        </w:rPr>
      </w:pPr>
      <w:r>
        <w:rPr>
          <w:rFonts w:ascii="宋体" w:eastAsia="宋体" w:hAnsi="宋体" w:cs="宋体"/>
          <w:b/>
          <w:bCs/>
          <w:sz w:val="28"/>
          <w:szCs w:val="28"/>
        </w:rPr>
        <w:t>所有董事均已出席了审议本次半年报的董事会会议。</w:t>
      </w:r>
    </w:p>
    <w:p w:rsidR="004A3B7E" w:rsidRPr="00C87458" w:rsidRDefault="00452DEF" w:rsidP="00C87458">
      <w:pPr>
        <w:spacing w:before="40" w:after="40" w:line="560" w:lineRule="exact"/>
        <w:ind w:firstLineChars="200" w:firstLine="562"/>
        <w:jc w:val="both"/>
        <w:divId w:val="1084424399"/>
        <w:rPr>
          <w:rFonts w:ascii="宋体" w:eastAsia="宋体" w:hAnsi="宋体" w:cs="宋体"/>
          <w:b/>
          <w:bCs/>
          <w:sz w:val="28"/>
          <w:szCs w:val="28"/>
        </w:rPr>
      </w:pPr>
      <w:r w:rsidRPr="00C87458">
        <w:rPr>
          <w:rFonts w:ascii="宋体" w:eastAsia="宋体" w:hAnsi="宋体" w:cs="宋体" w:hint="eastAsia"/>
          <w:b/>
          <w:bCs/>
          <w:sz w:val="28"/>
          <w:szCs w:val="28"/>
        </w:rPr>
        <w:t>本报告涉及的未来计划等前瞻性陈述不构成公司对投资者的实质承诺，投资者及相关人士均应当对此保持足够的风险认识，并且应当理解计划、预测与承诺之间的差异。</w:t>
      </w:r>
    </w:p>
    <w:p w:rsidR="004A3B7E" w:rsidRPr="00C87458" w:rsidRDefault="00452DEF" w:rsidP="00C87458">
      <w:pPr>
        <w:spacing w:before="40" w:after="40" w:line="560" w:lineRule="exact"/>
        <w:ind w:firstLineChars="200" w:firstLine="562"/>
        <w:jc w:val="both"/>
        <w:divId w:val="128085844"/>
        <w:rPr>
          <w:rFonts w:ascii="宋体" w:eastAsia="宋体" w:hAnsi="宋体" w:cs="宋体"/>
          <w:b/>
          <w:bCs/>
          <w:sz w:val="28"/>
          <w:szCs w:val="28"/>
        </w:rPr>
      </w:pPr>
      <w:r w:rsidRPr="00C87458">
        <w:rPr>
          <w:rFonts w:ascii="宋体" w:eastAsia="宋体" w:hAnsi="宋体" w:cs="宋体" w:hint="eastAsia"/>
          <w:b/>
          <w:bCs/>
          <w:sz w:val="28"/>
          <w:szCs w:val="28"/>
        </w:rPr>
        <w:t>本报告中描述了公司可能面临的风险，敬请投资者阅读本报告第三节“管理层讨论与分析”中相应的内容。</w:t>
      </w:r>
    </w:p>
    <w:p w:rsidR="00BD1BB9" w:rsidRDefault="00452DEF" w:rsidP="00C87458">
      <w:pPr>
        <w:spacing w:before="40" w:after="40" w:line="560" w:lineRule="exact"/>
        <w:ind w:firstLineChars="200" w:firstLine="562"/>
        <w:jc w:val="both"/>
        <w:rPr>
          <w:rFonts w:ascii="宋体" w:eastAsia="宋体" w:hAnsi="宋体" w:cs="宋体"/>
          <w:b/>
          <w:bCs/>
          <w:sz w:val="28"/>
          <w:szCs w:val="28"/>
        </w:rPr>
      </w:pPr>
      <w:r>
        <w:rPr>
          <w:rFonts w:ascii="宋体" w:eastAsia="宋体" w:hAnsi="宋体" w:cs="宋体"/>
          <w:b/>
          <w:bCs/>
          <w:sz w:val="28"/>
          <w:szCs w:val="28"/>
        </w:rPr>
        <w:t>公司经本次董事会审议通过的利润分配预案为：以886,012,887为基数，向全体股东每10股派发现金红利0.2</w:t>
      </w:r>
      <w:r w:rsidR="00093F96">
        <w:rPr>
          <w:rFonts w:ascii="宋体" w:eastAsia="宋体" w:hAnsi="宋体" w:cs="宋体" w:hint="eastAsia"/>
          <w:b/>
          <w:bCs/>
          <w:sz w:val="28"/>
          <w:szCs w:val="28"/>
        </w:rPr>
        <w:t>0</w:t>
      </w:r>
      <w:r>
        <w:rPr>
          <w:rFonts w:ascii="宋体" w:eastAsia="宋体" w:hAnsi="宋体" w:cs="宋体"/>
          <w:b/>
          <w:bCs/>
          <w:sz w:val="28"/>
          <w:szCs w:val="28"/>
        </w:rPr>
        <w:t>元（含税），送红股0股（含税），不以公积金转增股本。</w:t>
      </w:r>
    </w:p>
    <w:p w:rsidR="00BD1BB9" w:rsidRPr="00C87458" w:rsidRDefault="00452DEF" w:rsidP="00C87458">
      <w:pPr>
        <w:spacing w:before="40" w:after="40" w:line="560" w:lineRule="exact"/>
        <w:ind w:firstLineChars="200" w:firstLine="562"/>
        <w:jc w:val="both"/>
        <w:rPr>
          <w:rFonts w:ascii="宋体" w:eastAsia="宋体" w:hAnsi="宋体" w:cs="宋体"/>
          <w:b/>
          <w:bCs/>
          <w:sz w:val="28"/>
          <w:szCs w:val="28"/>
        </w:rPr>
      </w:pPr>
      <w:r w:rsidRPr="00C87458">
        <w:rPr>
          <w:rFonts w:ascii="宋体" w:eastAsia="宋体" w:hAnsi="宋体" w:cs="宋体"/>
          <w:b/>
          <w:bCs/>
          <w:sz w:val="28"/>
          <w:szCs w:val="28"/>
        </w:rPr>
        <w:br w:type="page"/>
      </w:r>
    </w:p>
    <w:p w:rsidR="00C87458" w:rsidRDefault="00C87458">
      <w:pPr>
        <w:spacing w:line="720" w:lineRule="exact"/>
        <w:jc w:val="center"/>
        <w:rPr>
          <w:rFonts w:ascii="宋体" w:eastAsia="宋体" w:hAnsi="宋体" w:cs="宋体"/>
          <w:b/>
          <w:bCs/>
          <w:sz w:val="36"/>
          <w:szCs w:val="36"/>
        </w:rPr>
      </w:pPr>
    </w:p>
    <w:p w:rsidR="00BD1BB9" w:rsidRDefault="00452DEF">
      <w:pPr>
        <w:spacing w:line="720" w:lineRule="exact"/>
        <w:jc w:val="center"/>
        <w:rPr>
          <w:rFonts w:ascii="宋体" w:eastAsia="宋体" w:hAnsi="宋体" w:cs="宋体"/>
          <w:b/>
          <w:bCs/>
          <w:sz w:val="36"/>
          <w:szCs w:val="36"/>
        </w:rPr>
      </w:pPr>
      <w:r>
        <w:rPr>
          <w:rFonts w:ascii="宋体" w:eastAsia="宋体" w:hAnsi="宋体" w:cs="宋体"/>
          <w:b/>
          <w:bCs/>
          <w:sz w:val="36"/>
          <w:szCs w:val="36"/>
        </w:rPr>
        <w:t>目</w:t>
      </w:r>
      <w:r w:rsidR="00C87458">
        <w:rPr>
          <w:rFonts w:ascii="宋体" w:eastAsia="宋体" w:hAnsi="宋体" w:cs="宋体" w:hint="eastAsia"/>
          <w:b/>
          <w:bCs/>
          <w:sz w:val="36"/>
          <w:szCs w:val="36"/>
        </w:rPr>
        <w:t xml:space="preserve">  </w:t>
      </w:r>
      <w:r>
        <w:rPr>
          <w:rFonts w:ascii="宋体" w:eastAsia="宋体" w:hAnsi="宋体" w:cs="宋体"/>
          <w:b/>
          <w:bCs/>
          <w:sz w:val="36"/>
          <w:szCs w:val="36"/>
        </w:rPr>
        <w:t>录</w:t>
      </w:r>
    </w:p>
    <w:p w:rsidR="00C87458" w:rsidRDefault="00C87458">
      <w:pPr>
        <w:spacing w:line="720" w:lineRule="exact"/>
        <w:jc w:val="center"/>
        <w:rPr>
          <w:rFonts w:ascii="宋体" w:eastAsia="宋体" w:hAnsi="宋体" w:cs="宋体"/>
          <w:b/>
          <w:bCs/>
          <w:sz w:val="36"/>
          <w:szCs w:val="36"/>
        </w:rPr>
      </w:pPr>
    </w:p>
    <w:p w:rsidR="00BD1BB9" w:rsidRPr="00612F73" w:rsidRDefault="00452DEF" w:rsidP="00C87458">
      <w:pPr>
        <w:pStyle w:val="1"/>
        <w:tabs>
          <w:tab w:val="left" w:leader="dot" w:pos="9469"/>
        </w:tabs>
        <w:spacing w:line="480" w:lineRule="auto"/>
        <w:rPr>
          <w:rFonts w:asciiTheme="minorEastAsia" w:hAnsiTheme="minorEastAsia"/>
          <w:noProof/>
        </w:rPr>
      </w:pPr>
      <w:r w:rsidRPr="00612F73">
        <w:rPr>
          <w:rFonts w:asciiTheme="minorEastAsia" w:hAnsiTheme="minorEastAsia"/>
        </w:rPr>
        <w:fldChar w:fldCharType="begin"/>
      </w:r>
      <w:r w:rsidRPr="00612F73">
        <w:rPr>
          <w:rFonts w:asciiTheme="minorEastAsia" w:hAnsiTheme="minorEastAsia"/>
        </w:rPr>
        <w:instrText xml:space="preserve"> </w:instrText>
      </w:r>
      <w:r w:rsidRPr="00612F73">
        <w:rPr>
          <w:rFonts w:asciiTheme="minorEastAsia" w:hAnsiTheme="minorEastAsia" w:hint="eastAsia"/>
        </w:rPr>
        <w:instrText>TOC \o "1-2" \h \z \u</w:instrText>
      </w:r>
      <w:r w:rsidRPr="00612F73">
        <w:rPr>
          <w:rFonts w:asciiTheme="minorEastAsia" w:hAnsiTheme="minorEastAsia"/>
        </w:rPr>
        <w:instrText xml:space="preserve"> </w:instrText>
      </w:r>
      <w:r w:rsidRPr="00612F73">
        <w:rPr>
          <w:rFonts w:asciiTheme="minorEastAsia" w:hAnsiTheme="minorEastAsia"/>
        </w:rPr>
        <w:fldChar w:fldCharType="separate"/>
      </w:r>
      <w:hyperlink w:anchor="_Toc988889" w:history="1">
        <w:r w:rsidRPr="00612F73">
          <w:rPr>
            <w:rFonts w:asciiTheme="minorEastAsia" w:hAnsiTheme="minorEastAsia" w:hint="eastAsia"/>
            <w:b/>
            <w:bCs/>
            <w:noProof/>
            <w:sz w:val="24"/>
          </w:rPr>
          <w:t>第一节 重要提示、目录和释义</w:t>
        </w:r>
        <w:r w:rsidRPr="00612F73">
          <w:rPr>
            <w:rFonts w:asciiTheme="minorEastAsia" w:hAnsiTheme="minorEastAsia"/>
            <w:noProof/>
            <w:webHidden/>
          </w:rPr>
          <w:tab/>
        </w:r>
        <w:r w:rsidRPr="00612F73">
          <w:rPr>
            <w:rFonts w:asciiTheme="minorEastAsia" w:hAnsiTheme="minorEastAsia"/>
            <w:noProof/>
            <w:webHidden/>
          </w:rPr>
          <w:fldChar w:fldCharType="begin"/>
        </w:r>
        <w:r w:rsidRPr="00612F73">
          <w:rPr>
            <w:rFonts w:asciiTheme="minorEastAsia" w:hAnsiTheme="minorEastAsia"/>
            <w:noProof/>
            <w:webHidden/>
          </w:rPr>
          <w:instrText xml:space="preserve"> PAGEREF _Toc988889 \h </w:instrText>
        </w:r>
        <w:r w:rsidRPr="00612F73">
          <w:rPr>
            <w:rFonts w:asciiTheme="minorEastAsia" w:hAnsiTheme="minorEastAsia"/>
            <w:noProof/>
            <w:webHidden/>
          </w:rPr>
        </w:r>
        <w:r w:rsidRPr="00612F73">
          <w:rPr>
            <w:rFonts w:asciiTheme="minorEastAsia" w:hAnsiTheme="minorEastAsia"/>
            <w:noProof/>
            <w:webHidden/>
          </w:rPr>
          <w:fldChar w:fldCharType="separate"/>
        </w:r>
        <w:r w:rsidR="00DF106D">
          <w:rPr>
            <w:rFonts w:asciiTheme="minorEastAsia" w:hAnsiTheme="minorEastAsia"/>
            <w:noProof/>
            <w:webHidden/>
          </w:rPr>
          <w:t>1</w:t>
        </w:r>
        <w:r w:rsidRPr="00612F73">
          <w:rPr>
            <w:rFonts w:asciiTheme="minorEastAsia" w:hAnsiTheme="minorEastAsia"/>
            <w:noProof/>
            <w:webHidden/>
          </w:rPr>
          <w:fldChar w:fldCharType="end"/>
        </w:r>
      </w:hyperlink>
    </w:p>
    <w:p w:rsidR="00BD1BB9" w:rsidRPr="00612F73" w:rsidRDefault="002B56F5" w:rsidP="00C87458">
      <w:pPr>
        <w:pStyle w:val="1"/>
        <w:tabs>
          <w:tab w:val="left" w:leader="dot" w:pos="9469"/>
        </w:tabs>
        <w:spacing w:line="480" w:lineRule="auto"/>
        <w:rPr>
          <w:rFonts w:asciiTheme="minorEastAsia" w:hAnsiTheme="minorEastAsia"/>
          <w:noProof/>
        </w:rPr>
      </w:pPr>
      <w:hyperlink w:anchor="_Toc988890" w:history="1">
        <w:r w:rsidR="00452DEF" w:rsidRPr="00612F73">
          <w:rPr>
            <w:rFonts w:asciiTheme="minorEastAsia" w:hAnsiTheme="minorEastAsia" w:hint="eastAsia"/>
            <w:b/>
            <w:bCs/>
            <w:noProof/>
            <w:sz w:val="24"/>
          </w:rPr>
          <w:t>第二节 公司简介和主要财务指标</w:t>
        </w:r>
        <w:r w:rsidR="00452DEF" w:rsidRPr="00612F73">
          <w:rPr>
            <w:rFonts w:asciiTheme="minorEastAsia" w:hAnsiTheme="minorEastAsia"/>
            <w:noProof/>
            <w:webHidden/>
          </w:rPr>
          <w:tab/>
        </w:r>
        <w:r w:rsidR="00452DEF" w:rsidRPr="00612F73">
          <w:rPr>
            <w:rFonts w:asciiTheme="minorEastAsia" w:hAnsiTheme="minorEastAsia"/>
            <w:noProof/>
            <w:webHidden/>
          </w:rPr>
          <w:fldChar w:fldCharType="begin"/>
        </w:r>
        <w:r w:rsidR="00452DEF" w:rsidRPr="00612F73">
          <w:rPr>
            <w:rFonts w:asciiTheme="minorEastAsia" w:hAnsiTheme="minorEastAsia"/>
            <w:noProof/>
            <w:webHidden/>
          </w:rPr>
          <w:instrText xml:space="preserve"> PAGEREF _Toc988890 \h </w:instrText>
        </w:r>
        <w:r w:rsidR="00452DEF" w:rsidRPr="00612F73">
          <w:rPr>
            <w:rFonts w:asciiTheme="minorEastAsia" w:hAnsiTheme="minorEastAsia"/>
            <w:noProof/>
            <w:webHidden/>
          </w:rPr>
        </w:r>
        <w:r w:rsidR="00452DEF" w:rsidRPr="00612F73">
          <w:rPr>
            <w:rFonts w:asciiTheme="minorEastAsia" w:hAnsiTheme="minorEastAsia"/>
            <w:noProof/>
            <w:webHidden/>
          </w:rPr>
          <w:fldChar w:fldCharType="separate"/>
        </w:r>
        <w:r w:rsidR="00DF106D">
          <w:rPr>
            <w:rFonts w:asciiTheme="minorEastAsia" w:hAnsiTheme="minorEastAsia"/>
            <w:noProof/>
            <w:webHidden/>
          </w:rPr>
          <w:t>5</w:t>
        </w:r>
        <w:r w:rsidR="00452DEF" w:rsidRPr="00612F73">
          <w:rPr>
            <w:rFonts w:asciiTheme="minorEastAsia" w:hAnsiTheme="minorEastAsia"/>
            <w:noProof/>
            <w:webHidden/>
          </w:rPr>
          <w:fldChar w:fldCharType="end"/>
        </w:r>
      </w:hyperlink>
    </w:p>
    <w:p w:rsidR="00BD1BB9" w:rsidRPr="00612F73" w:rsidRDefault="002B56F5" w:rsidP="00C87458">
      <w:pPr>
        <w:pStyle w:val="1"/>
        <w:tabs>
          <w:tab w:val="left" w:leader="dot" w:pos="9469"/>
        </w:tabs>
        <w:spacing w:line="480" w:lineRule="auto"/>
        <w:rPr>
          <w:rFonts w:asciiTheme="minorEastAsia" w:hAnsiTheme="minorEastAsia"/>
          <w:noProof/>
        </w:rPr>
      </w:pPr>
      <w:hyperlink w:anchor="_Toc988902" w:history="1">
        <w:r w:rsidR="00452DEF" w:rsidRPr="00612F73">
          <w:rPr>
            <w:rFonts w:asciiTheme="minorEastAsia" w:hAnsiTheme="minorEastAsia" w:hint="eastAsia"/>
            <w:b/>
            <w:bCs/>
            <w:noProof/>
            <w:sz w:val="24"/>
          </w:rPr>
          <w:t>第三节 管理层讨论与分析</w:t>
        </w:r>
        <w:r w:rsidR="00452DEF" w:rsidRPr="00612F73">
          <w:rPr>
            <w:rFonts w:asciiTheme="minorEastAsia" w:hAnsiTheme="minorEastAsia"/>
            <w:noProof/>
            <w:webHidden/>
          </w:rPr>
          <w:tab/>
        </w:r>
        <w:r w:rsidR="00452DEF" w:rsidRPr="00612F73">
          <w:rPr>
            <w:rFonts w:asciiTheme="minorEastAsia" w:hAnsiTheme="minorEastAsia"/>
            <w:noProof/>
            <w:webHidden/>
          </w:rPr>
          <w:fldChar w:fldCharType="begin"/>
        </w:r>
        <w:r w:rsidR="00452DEF" w:rsidRPr="00612F73">
          <w:rPr>
            <w:rFonts w:asciiTheme="minorEastAsia" w:hAnsiTheme="minorEastAsia"/>
            <w:noProof/>
            <w:webHidden/>
          </w:rPr>
          <w:instrText xml:space="preserve"> PAGEREF _Toc988902 \h </w:instrText>
        </w:r>
        <w:r w:rsidR="00452DEF" w:rsidRPr="00612F73">
          <w:rPr>
            <w:rFonts w:asciiTheme="minorEastAsia" w:hAnsiTheme="minorEastAsia"/>
            <w:noProof/>
            <w:webHidden/>
          </w:rPr>
        </w:r>
        <w:r w:rsidR="00452DEF" w:rsidRPr="00612F73">
          <w:rPr>
            <w:rFonts w:asciiTheme="minorEastAsia" w:hAnsiTheme="minorEastAsia"/>
            <w:noProof/>
            <w:webHidden/>
          </w:rPr>
          <w:fldChar w:fldCharType="separate"/>
        </w:r>
        <w:r w:rsidR="00DF106D">
          <w:rPr>
            <w:rFonts w:asciiTheme="minorEastAsia" w:hAnsiTheme="minorEastAsia"/>
            <w:noProof/>
            <w:webHidden/>
          </w:rPr>
          <w:t>8</w:t>
        </w:r>
        <w:r w:rsidR="00452DEF" w:rsidRPr="00612F73">
          <w:rPr>
            <w:rFonts w:asciiTheme="minorEastAsia" w:hAnsiTheme="minorEastAsia"/>
            <w:noProof/>
            <w:webHidden/>
          </w:rPr>
          <w:fldChar w:fldCharType="end"/>
        </w:r>
      </w:hyperlink>
    </w:p>
    <w:p w:rsidR="00BD1BB9" w:rsidRPr="00612F73" w:rsidRDefault="002B56F5" w:rsidP="00C87458">
      <w:pPr>
        <w:pStyle w:val="1"/>
        <w:tabs>
          <w:tab w:val="left" w:leader="dot" w:pos="9469"/>
        </w:tabs>
        <w:spacing w:line="480" w:lineRule="auto"/>
        <w:rPr>
          <w:rFonts w:asciiTheme="minorEastAsia" w:hAnsiTheme="minorEastAsia"/>
          <w:noProof/>
        </w:rPr>
      </w:pPr>
      <w:hyperlink w:anchor="_Toc988930" w:history="1">
        <w:r w:rsidR="00452DEF" w:rsidRPr="00612F73">
          <w:rPr>
            <w:rFonts w:asciiTheme="minorEastAsia" w:hAnsiTheme="minorEastAsia" w:hint="eastAsia"/>
            <w:b/>
            <w:bCs/>
            <w:noProof/>
            <w:sz w:val="24"/>
          </w:rPr>
          <w:t>第四节 公司治理、环境和社会</w:t>
        </w:r>
        <w:r w:rsidR="00452DEF" w:rsidRPr="00612F73">
          <w:rPr>
            <w:rFonts w:asciiTheme="minorEastAsia" w:hAnsiTheme="minorEastAsia"/>
            <w:noProof/>
            <w:webHidden/>
          </w:rPr>
          <w:tab/>
        </w:r>
        <w:r w:rsidR="00452DEF" w:rsidRPr="00612F73">
          <w:rPr>
            <w:rFonts w:asciiTheme="minorEastAsia" w:hAnsiTheme="minorEastAsia"/>
            <w:noProof/>
            <w:webHidden/>
          </w:rPr>
          <w:fldChar w:fldCharType="begin"/>
        </w:r>
        <w:r w:rsidR="00452DEF" w:rsidRPr="00612F73">
          <w:rPr>
            <w:rFonts w:asciiTheme="minorEastAsia" w:hAnsiTheme="minorEastAsia"/>
            <w:noProof/>
            <w:webHidden/>
          </w:rPr>
          <w:instrText xml:space="preserve"> PAGEREF _Toc988930 \h </w:instrText>
        </w:r>
        <w:r w:rsidR="00452DEF" w:rsidRPr="00612F73">
          <w:rPr>
            <w:rFonts w:asciiTheme="minorEastAsia" w:hAnsiTheme="minorEastAsia"/>
            <w:noProof/>
            <w:webHidden/>
          </w:rPr>
        </w:r>
        <w:r w:rsidR="00452DEF" w:rsidRPr="00612F73">
          <w:rPr>
            <w:rFonts w:asciiTheme="minorEastAsia" w:hAnsiTheme="minorEastAsia"/>
            <w:noProof/>
            <w:webHidden/>
          </w:rPr>
          <w:fldChar w:fldCharType="separate"/>
        </w:r>
        <w:r w:rsidR="00DF106D">
          <w:rPr>
            <w:rFonts w:asciiTheme="minorEastAsia" w:hAnsiTheme="minorEastAsia"/>
            <w:noProof/>
            <w:webHidden/>
          </w:rPr>
          <w:t>22</w:t>
        </w:r>
        <w:r w:rsidR="00452DEF" w:rsidRPr="00612F73">
          <w:rPr>
            <w:rFonts w:asciiTheme="minorEastAsia" w:hAnsiTheme="minorEastAsia"/>
            <w:noProof/>
            <w:webHidden/>
          </w:rPr>
          <w:fldChar w:fldCharType="end"/>
        </w:r>
      </w:hyperlink>
    </w:p>
    <w:p w:rsidR="00BD1BB9" w:rsidRPr="00612F73" w:rsidRDefault="002B56F5" w:rsidP="00C87458">
      <w:pPr>
        <w:pStyle w:val="1"/>
        <w:tabs>
          <w:tab w:val="left" w:leader="dot" w:pos="9469"/>
        </w:tabs>
        <w:spacing w:line="480" w:lineRule="auto"/>
        <w:rPr>
          <w:rFonts w:asciiTheme="minorEastAsia" w:hAnsiTheme="minorEastAsia"/>
          <w:noProof/>
        </w:rPr>
      </w:pPr>
      <w:hyperlink w:anchor="_Toc988936" w:history="1">
        <w:r w:rsidR="00452DEF" w:rsidRPr="00612F73">
          <w:rPr>
            <w:rFonts w:asciiTheme="minorEastAsia" w:hAnsiTheme="minorEastAsia" w:hint="eastAsia"/>
            <w:b/>
            <w:bCs/>
            <w:noProof/>
            <w:sz w:val="24"/>
          </w:rPr>
          <w:t>第五节 重要事项</w:t>
        </w:r>
        <w:r w:rsidR="00452DEF" w:rsidRPr="00612F73">
          <w:rPr>
            <w:rFonts w:asciiTheme="minorEastAsia" w:hAnsiTheme="minorEastAsia"/>
            <w:noProof/>
            <w:webHidden/>
          </w:rPr>
          <w:tab/>
        </w:r>
        <w:r w:rsidR="00452DEF" w:rsidRPr="00612F73">
          <w:rPr>
            <w:rFonts w:asciiTheme="minorEastAsia" w:hAnsiTheme="minorEastAsia"/>
            <w:noProof/>
            <w:webHidden/>
          </w:rPr>
          <w:fldChar w:fldCharType="begin"/>
        </w:r>
        <w:r w:rsidR="00452DEF" w:rsidRPr="00612F73">
          <w:rPr>
            <w:rFonts w:asciiTheme="minorEastAsia" w:hAnsiTheme="minorEastAsia"/>
            <w:noProof/>
            <w:webHidden/>
          </w:rPr>
          <w:instrText xml:space="preserve"> PAGEREF _Toc988936 \h </w:instrText>
        </w:r>
        <w:r w:rsidR="00452DEF" w:rsidRPr="00612F73">
          <w:rPr>
            <w:rFonts w:asciiTheme="minorEastAsia" w:hAnsiTheme="minorEastAsia"/>
            <w:noProof/>
            <w:webHidden/>
          </w:rPr>
        </w:r>
        <w:r w:rsidR="00452DEF" w:rsidRPr="00612F73">
          <w:rPr>
            <w:rFonts w:asciiTheme="minorEastAsia" w:hAnsiTheme="minorEastAsia"/>
            <w:noProof/>
            <w:webHidden/>
          </w:rPr>
          <w:fldChar w:fldCharType="separate"/>
        </w:r>
        <w:r w:rsidR="00DF106D">
          <w:rPr>
            <w:rFonts w:asciiTheme="minorEastAsia" w:hAnsiTheme="minorEastAsia"/>
            <w:noProof/>
            <w:webHidden/>
          </w:rPr>
          <w:t>24</w:t>
        </w:r>
        <w:r w:rsidR="00452DEF" w:rsidRPr="00612F73">
          <w:rPr>
            <w:rFonts w:asciiTheme="minorEastAsia" w:hAnsiTheme="minorEastAsia"/>
            <w:noProof/>
            <w:webHidden/>
          </w:rPr>
          <w:fldChar w:fldCharType="end"/>
        </w:r>
      </w:hyperlink>
    </w:p>
    <w:p w:rsidR="00BD1BB9" w:rsidRPr="00612F73" w:rsidRDefault="002B56F5" w:rsidP="00C87458">
      <w:pPr>
        <w:pStyle w:val="1"/>
        <w:tabs>
          <w:tab w:val="left" w:leader="dot" w:pos="9469"/>
        </w:tabs>
        <w:spacing w:line="480" w:lineRule="auto"/>
        <w:rPr>
          <w:rFonts w:asciiTheme="minorEastAsia" w:hAnsiTheme="minorEastAsia"/>
          <w:noProof/>
        </w:rPr>
      </w:pPr>
      <w:hyperlink w:anchor="_Toc988965" w:history="1">
        <w:r w:rsidR="00452DEF" w:rsidRPr="00612F73">
          <w:rPr>
            <w:rFonts w:asciiTheme="minorEastAsia" w:hAnsiTheme="minorEastAsia" w:hint="eastAsia"/>
            <w:b/>
            <w:bCs/>
            <w:noProof/>
            <w:sz w:val="24"/>
          </w:rPr>
          <w:t>第六节 股份变动及股东情况</w:t>
        </w:r>
        <w:r w:rsidR="00452DEF" w:rsidRPr="00612F73">
          <w:rPr>
            <w:rFonts w:asciiTheme="minorEastAsia" w:hAnsiTheme="minorEastAsia"/>
            <w:noProof/>
            <w:webHidden/>
          </w:rPr>
          <w:tab/>
        </w:r>
        <w:r w:rsidR="00452DEF" w:rsidRPr="00612F73">
          <w:rPr>
            <w:rFonts w:asciiTheme="minorEastAsia" w:hAnsiTheme="minorEastAsia"/>
            <w:noProof/>
            <w:webHidden/>
          </w:rPr>
          <w:fldChar w:fldCharType="begin"/>
        </w:r>
        <w:r w:rsidR="00452DEF" w:rsidRPr="00612F73">
          <w:rPr>
            <w:rFonts w:asciiTheme="minorEastAsia" w:hAnsiTheme="minorEastAsia"/>
            <w:noProof/>
            <w:webHidden/>
          </w:rPr>
          <w:instrText xml:space="preserve"> PAGEREF _Toc988965 \h </w:instrText>
        </w:r>
        <w:r w:rsidR="00452DEF" w:rsidRPr="00612F73">
          <w:rPr>
            <w:rFonts w:asciiTheme="minorEastAsia" w:hAnsiTheme="minorEastAsia"/>
            <w:noProof/>
            <w:webHidden/>
          </w:rPr>
        </w:r>
        <w:r w:rsidR="00452DEF" w:rsidRPr="00612F73">
          <w:rPr>
            <w:rFonts w:asciiTheme="minorEastAsia" w:hAnsiTheme="minorEastAsia"/>
            <w:noProof/>
            <w:webHidden/>
          </w:rPr>
          <w:fldChar w:fldCharType="separate"/>
        </w:r>
        <w:r w:rsidR="00DF106D">
          <w:rPr>
            <w:rFonts w:asciiTheme="minorEastAsia" w:hAnsiTheme="minorEastAsia"/>
            <w:noProof/>
            <w:webHidden/>
          </w:rPr>
          <w:t>31</w:t>
        </w:r>
        <w:r w:rsidR="00452DEF" w:rsidRPr="00612F73">
          <w:rPr>
            <w:rFonts w:asciiTheme="minorEastAsia" w:hAnsiTheme="minorEastAsia"/>
            <w:noProof/>
            <w:webHidden/>
          </w:rPr>
          <w:fldChar w:fldCharType="end"/>
        </w:r>
      </w:hyperlink>
    </w:p>
    <w:p w:rsidR="00BD1BB9" w:rsidRPr="00612F73" w:rsidRDefault="002B56F5" w:rsidP="00C87458">
      <w:pPr>
        <w:pStyle w:val="1"/>
        <w:tabs>
          <w:tab w:val="left" w:leader="dot" w:pos="9469"/>
        </w:tabs>
        <w:spacing w:line="480" w:lineRule="auto"/>
        <w:rPr>
          <w:rFonts w:asciiTheme="minorEastAsia" w:hAnsiTheme="minorEastAsia"/>
          <w:noProof/>
        </w:rPr>
      </w:pPr>
      <w:hyperlink w:anchor="_Toc988974" w:history="1">
        <w:r w:rsidR="00452DEF" w:rsidRPr="00612F73">
          <w:rPr>
            <w:rFonts w:asciiTheme="minorEastAsia" w:hAnsiTheme="minorEastAsia" w:hint="eastAsia"/>
            <w:b/>
            <w:bCs/>
            <w:noProof/>
            <w:sz w:val="24"/>
          </w:rPr>
          <w:t>第七节 债券相关情况</w:t>
        </w:r>
        <w:r w:rsidR="00452DEF" w:rsidRPr="00612F73">
          <w:rPr>
            <w:rFonts w:asciiTheme="minorEastAsia" w:hAnsiTheme="minorEastAsia"/>
            <w:noProof/>
            <w:webHidden/>
          </w:rPr>
          <w:tab/>
        </w:r>
        <w:r w:rsidR="00452DEF" w:rsidRPr="00612F73">
          <w:rPr>
            <w:rFonts w:asciiTheme="minorEastAsia" w:hAnsiTheme="minorEastAsia"/>
            <w:noProof/>
            <w:webHidden/>
          </w:rPr>
          <w:fldChar w:fldCharType="begin"/>
        </w:r>
        <w:r w:rsidR="00452DEF" w:rsidRPr="00612F73">
          <w:rPr>
            <w:rFonts w:asciiTheme="minorEastAsia" w:hAnsiTheme="minorEastAsia"/>
            <w:noProof/>
            <w:webHidden/>
          </w:rPr>
          <w:instrText xml:space="preserve"> PAGEREF _Toc988974 \h </w:instrText>
        </w:r>
        <w:r w:rsidR="00452DEF" w:rsidRPr="00612F73">
          <w:rPr>
            <w:rFonts w:asciiTheme="minorEastAsia" w:hAnsiTheme="minorEastAsia"/>
            <w:noProof/>
            <w:webHidden/>
          </w:rPr>
        </w:r>
        <w:r w:rsidR="00452DEF" w:rsidRPr="00612F73">
          <w:rPr>
            <w:rFonts w:asciiTheme="minorEastAsia" w:hAnsiTheme="minorEastAsia"/>
            <w:noProof/>
            <w:webHidden/>
          </w:rPr>
          <w:fldChar w:fldCharType="separate"/>
        </w:r>
        <w:r w:rsidR="00DF106D">
          <w:rPr>
            <w:rFonts w:asciiTheme="minorEastAsia" w:hAnsiTheme="minorEastAsia"/>
            <w:noProof/>
            <w:webHidden/>
          </w:rPr>
          <w:t>35</w:t>
        </w:r>
        <w:r w:rsidR="00452DEF" w:rsidRPr="00612F73">
          <w:rPr>
            <w:rFonts w:asciiTheme="minorEastAsia" w:hAnsiTheme="minorEastAsia"/>
            <w:noProof/>
            <w:webHidden/>
          </w:rPr>
          <w:fldChar w:fldCharType="end"/>
        </w:r>
      </w:hyperlink>
    </w:p>
    <w:p w:rsidR="00BD1BB9" w:rsidRPr="00612F73" w:rsidRDefault="002B56F5" w:rsidP="00C87458">
      <w:pPr>
        <w:pStyle w:val="1"/>
        <w:tabs>
          <w:tab w:val="left" w:leader="dot" w:pos="9469"/>
        </w:tabs>
        <w:spacing w:line="480" w:lineRule="auto"/>
        <w:rPr>
          <w:rFonts w:asciiTheme="minorEastAsia" w:hAnsiTheme="minorEastAsia"/>
          <w:noProof/>
        </w:rPr>
      </w:pPr>
      <w:hyperlink w:anchor="_Toc988975" w:history="1">
        <w:r w:rsidR="00452DEF" w:rsidRPr="00612F73">
          <w:rPr>
            <w:rFonts w:asciiTheme="minorEastAsia" w:hAnsiTheme="minorEastAsia" w:hint="eastAsia"/>
            <w:b/>
            <w:bCs/>
            <w:noProof/>
            <w:sz w:val="24"/>
          </w:rPr>
          <w:t>第八节 财务报告</w:t>
        </w:r>
        <w:r w:rsidR="00452DEF" w:rsidRPr="00612F73">
          <w:rPr>
            <w:rFonts w:asciiTheme="minorEastAsia" w:hAnsiTheme="minorEastAsia"/>
            <w:noProof/>
            <w:webHidden/>
          </w:rPr>
          <w:tab/>
        </w:r>
        <w:r w:rsidR="00452DEF" w:rsidRPr="00612F73">
          <w:rPr>
            <w:rFonts w:asciiTheme="minorEastAsia" w:hAnsiTheme="minorEastAsia"/>
            <w:noProof/>
            <w:webHidden/>
          </w:rPr>
          <w:fldChar w:fldCharType="begin"/>
        </w:r>
        <w:r w:rsidR="00452DEF" w:rsidRPr="00612F73">
          <w:rPr>
            <w:rFonts w:asciiTheme="minorEastAsia" w:hAnsiTheme="minorEastAsia"/>
            <w:noProof/>
            <w:webHidden/>
          </w:rPr>
          <w:instrText xml:space="preserve"> PAGEREF _Toc988975 \h </w:instrText>
        </w:r>
        <w:r w:rsidR="00452DEF" w:rsidRPr="00612F73">
          <w:rPr>
            <w:rFonts w:asciiTheme="minorEastAsia" w:hAnsiTheme="minorEastAsia"/>
            <w:noProof/>
            <w:webHidden/>
          </w:rPr>
        </w:r>
        <w:r w:rsidR="00452DEF" w:rsidRPr="00612F73">
          <w:rPr>
            <w:rFonts w:asciiTheme="minorEastAsia" w:hAnsiTheme="minorEastAsia"/>
            <w:noProof/>
            <w:webHidden/>
          </w:rPr>
          <w:fldChar w:fldCharType="separate"/>
        </w:r>
        <w:r w:rsidR="00DF106D">
          <w:rPr>
            <w:rFonts w:asciiTheme="minorEastAsia" w:hAnsiTheme="minorEastAsia"/>
            <w:noProof/>
            <w:webHidden/>
          </w:rPr>
          <w:t>36</w:t>
        </w:r>
        <w:r w:rsidR="00452DEF" w:rsidRPr="00612F73">
          <w:rPr>
            <w:rFonts w:asciiTheme="minorEastAsia" w:hAnsiTheme="minorEastAsia"/>
            <w:noProof/>
            <w:webHidden/>
          </w:rPr>
          <w:fldChar w:fldCharType="end"/>
        </w:r>
      </w:hyperlink>
    </w:p>
    <w:p w:rsidR="00BD1BB9" w:rsidRPr="00612F73" w:rsidRDefault="002B56F5" w:rsidP="00C87458">
      <w:pPr>
        <w:pStyle w:val="1"/>
        <w:tabs>
          <w:tab w:val="left" w:leader="dot" w:pos="9469"/>
        </w:tabs>
        <w:spacing w:line="480" w:lineRule="auto"/>
        <w:rPr>
          <w:rFonts w:asciiTheme="minorEastAsia" w:hAnsiTheme="minorEastAsia"/>
          <w:noProof/>
        </w:rPr>
      </w:pPr>
      <w:hyperlink w:anchor="_Toc989229" w:history="1">
        <w:r w:rsidR="00452DEF" w:rsidRPr="00612F73">
          <w:rPr>
            <w:rFonts w:asciiTheme="minorEastAsia" w:hAnsiTheme="minorEastAsia" w:hint="eastAsia"/>
            <w:b/>
            <w:bCs/>
            <w:noProof/>
            <w:sz w:val="24"/>
          </w:rPr>
          <w:t>第九节 其他报送数据</w:t>
        </w:r>
        <w:r w:rsidR="00452DEF" w:rsidRPr="00612F73">
          <w:rPr>
            <w:rFonts w:asciiTheme="minorEastAsia" w:hAnsiTheme="minorEastAsia"/>
            <w:noProof/>
            <w:webHidden/>
          </w:rPr>
          <w:tab/>
        </w:r>
        <w:r w:rsidR="00452DEF" w:rsidRPr="00612F73">
          <w:rPr>
            <w:rFonts w:asciiTheme="minorEastAsia" w:hAnsiTheme="minorEastAsia"/>
            <w:noProof/>
            <w:webHidden/>
          </w:rPr>
          <w:fldChar w:fldCharType="begin"/>
        </w:r>
        <w:r w:rsidR="00452DEF" w:rsidRPr="00612F73">
          <w:rPr>
            <w:rFonts w:asciiTheme="minorEastAsia" w:hAnsiTheme="minorEastAsia"/>
            <w:noProof/>
            <w:webHidden/>
          </w:rPr>
          <w:instrText xml:space="preserve"> PAGEREF _Toc989229 \h </w:instrText>
        </w:r>
        <w:r w:rsidR="00452DEF" w:rsidRPr="00612F73">
          <w:rPr>
            <w:rFonts w:asciiTheme="minorEastAsia" w:hAnsiTheme="minorEastAsia"/>
            <w:noProof/>
            <w:webHidden/>
          </w:rPr>
        </w:r>
        <w:r w:rsidR="00452DEF" w:rsidRPr="00612F73">
          <w:rPr>
            <w:rFonts w:asciiTheme="minorEastAsia" w:hAnsiTheme="minorEastAsia"/>
            <w:noProof/>
            <w:webHidden/>
          </w:rPr>
          <w:fldChar w:fldCharType="separate"/>
        </w:r>
        <w:r w:rsidR="00DF106D">
          <w:rPr>
            <w:rFonts w:asciiTheme="minorEastAsia" w:hAnsiTheme="minorEastAsia"/>
            <w:noProof/>
            <w:webHidden/>
          </w:rPr>
          <w:t>132</w:t>
        </w:r>
        <w:r w:rsidR="00452DEF" w:rsidRPr="00612F73">
          <w:rPr>
            <w:rFonts w:asciiTheme="minorEastAsia" w:hAnsiTheme="minorEastAsia"/>
            <w:noProof/>
            <w:webHidden/>
          </w:rPr>
          <w:fldChar w:fldCharType="end"/>
        </w:r>
      </w:hyperlink>
      <w:r w:rsidR="00452DEF" w:rsidRPr="00612F73">
        <w:rPr>
          <w:rFonts w:asciiTheme="minorEastAsia" w:hAnsiTheme="minorEastAsia"/>
        </w:rPr>
        <w:fldChar w:fldCharType="end"/>
      </w:r>
    </w:p>
    <w:p w:rsidR="00BD1BB9" w:rsidRDefault="00452DEF">
      <w:r>
        <w:br w:type="page"/>
      </w:r>
    </w:p>
    <w:p w:rsidR="00BD1BB9" w:rsidRDefault="00452DEF">
      <w:pPr>
        <w:spacing w:line="640" w:lineRule="exact"/>
        <w:jc w:val="center"/>
        <w:rPr>
          <w:rFonts w:ascii="宋体" w:eastAsia="宋体" w:hAnsi="宋体" w:cs="宋体"/>
          <w:b/>
          <w:bCs/>
          <w:sz w:val="32"/>
          <w:szCs w:val="32"/>
        </w:rPr>
      </w:pPr>
      <w:r>
        <w:rPr>
          <w:rFonts w:ascii="宋体" w:eastAsia="宋体" w:hAnsi="宋体" w:cs="宋体"/>
          <w:b/>
          <w:bCs/>
          <w:sz w:val="32"/>
          <w:szCs w:val="32"/>
        </w:rPr>
        <w:lastRenderedPageBreak/>
        <w:t>备查文件目录</w:t>
      </w:r>
    </w:p>
    <w:p w:rsidR="004A3B7E" w:rsidRDefault="00452DEF">
      <w:pPr>
        <w:pStyle w:val="a3"/>
        <w:spacing w:line="560" w:lineRule="atLeast"/>
        <w:divId w:val="61297856"/>
        <w:rPr>
          <w:sz w:val="18"/>
          <w:szCs w:val="18"/>
        </w:rPr>
      </w:pPr>
      <w:r>
        <w:rPr>
          <w:rFonts w:hint="eastAsia"/>
          <w:sz w:val="18"/>
          <w:szCs w:val="18"/>
        </w:rPr>
        <w:t>（一）载有公司负责人、主管会计工作负责人、会计主管人员签名并盖章的财务报表。</w:t>
      </w:r>
    </w:p>
    <w:p w:rsidR="004A3B7E" w:rsidRDefault="00452DEF">
      <w:pPr>
        <w:pStyle w:val="a3"/>
        <w:spacing w:line="560" w:lineRule="atLeast"/>
        <w:divId w:val="61297856"/>
        <w:rPr>
          <w:sz w:val="18"/>
          <w:szCs w:val="18"/>
        </w:rPr>
      </w:pPr>
      <w:r>
        <w:rPr>
          <w:rFonts w:hint="eastAsia"/>
          <w:sz w:val="18"/>
          <w:szCs w:val="18"/>
        </w:rPr>
        <w:t>（二）报告期内公开披露过的所有公司文件的正本及公告的原稿。</w:t>
      </w:r>
    </w:p>
    <w:p w:rsidR="004A3B7E" w:rsidRDefault="00452DEF">
      <w:pPr>
        <w:pStyle w:val="a3"/>
        <w:spacing w:line="560" w:lineRule="atLeast"/>
        <w:divId w:val="61297856"/>
        <w:rPr>
          <w:sz w:val="18"/>
          <w:szCs w:val="18"/>
        </w:rPr>
      </w:pPr>
      <w:r>
        <w:rPr>
          <w:rFonts w:hint="eastAsia"/>
          <w:sz w:val="18"/>
          <w:szCs w:val="18"/>
        </w:rPr>
        <w:t>（三）载有公司法定代表人签名并盖章的半年度报告。</w:t>
      </w:r>
    </w:p>
    <w:p w:rsidR="00BD1BB9" w:rsidRDefault="00452DEF">
      <w:r>
        <w:br w:type="page"/>
      </w:r>
    </w:p>
    <w:p w:rsidR="00BD1BB9" w:rsidRDefault="00452DEF">
      <w:pPr>
        <w:spacing w:before="40" w:after="40" w:line="640" w:lineRule="exact"/>
        <w:jc w:val="center"/>
        <w:rPr>
          <w:rFonts w:ascii="宋体" w:eastAsia="宋体" w:hAnsi="宋体" w:cs="宋体"/>
          <w:b/>
          <w:bCs/>
          <w:sz w:val="32"/>
          <w:szCs w:val="32"/>
        </w:rPr>
      </w:pPr>
      <w:r>
        <w:rPr>
          <w:rFonts w:ascii="宋体" w:eastAsia="宋体" w:hAnsi="宋体" w:cs="宋体"/>
          <w:b/>
          <w:bCs/>
          <w:sz w:val="32"/>
          <w:szCs w:val="32"/>
        </w:rPr>
        <w:lastRenderedPageBreak/>
        <w:t>释</w:t>
      </w:r>
      <w:r w:rsidR="00612F73">
        <w:rPr>
          <w:rFonts w:ascii="宋体" w:eastAsia="宋体" w:hAnsi="宋体" w:cs="宋体" w:hint="eastAsia"/>
          <w:b/>
          <w:bCs/>
          <w:sz w:val="32"/>
          <w:szCs w:val="32"/>
        </w:rPr>
        <w:t xml:space="preserve">  </w:t>
      </w:r>
      <w:r>
        <w:rPr>
          <w:rFonts w:ascii="宋体" w:eastAsia="宋体" w:hAnsi="宋体" w:cs="宋体"/>
          <w:b/>
          <w:bCs/>
          <w:sz w:val="32"/>
          <w:szCs w:val="32"/>
        </w:rPr>
        <w:t>义</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319"/>
        <w:gridCol w:w="1000"/>
        <w:gridCol w:w="4320"/>
      </w:tblGrid>
      <w:tr w:rsidR="00BD1BB9">
        <w:trPr>
          <w:trHeight w:val="240"/>
        </w:trPr>
        <w:tc>
          <w:tcPr>
            <w:tcW w:w="43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释义项</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释义内容</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中国证监会</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中国证券监督管理委员会</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深交所</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深圳证券交易所</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公司、本公司、华西股份</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江苏华西村股份有限公司</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控股股东、华西集团</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江苏华西集团有限公司</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江阴市国资办</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360" w:lineRule="auto"/>
              <w:jc w:val="both"/>
              <w:rPr>
                <w:rFonts w:ascii="宋体" w:eastAsia="宋体" w:hAnsi="宋体" w:cs="宋体"/>
                <w:sz w:val="18"/>
                <w:szCs w:val="18"/>
              </w:rPr>
            </w:pPr>
            <w:r>
              <w:rPr>
                <w:rFonts w:ascii="宋体" w:eastAsia="宋体" w:hAnsi="宋体" w:cs="宋体"/>
                <w:sz w:val="18"/>
                <w:szCs w:val="18"/>
              </w:rPr>
              <w:t>江阴市人民政府国有资产监督管理办公室，为公司实际控制人</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化纤厂</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360" w:lineRule="auto"/>
              <w:jc w:val="both"/>
              <w:rPr>
                <w:rFonts w:ascii="宋体" w:eastAsia="宋体" w:hAnsi="宋体" w:cs="宋体"/>
                <w:sz w:val="18"/>
                <w:szCs w:val="18"/>
              </w:rPr>
            </w:pPr>
            <w:r>
              <w:rPr>
                <w:rFonts w:ascii="宋体" w:eastAsia="宋体" w:hAnsi="宋体" w:cs="宋体"/>
                <w:sz w:val="18"/>
                <w:szCs w:val="18"/>
              </w:rPr>
              <w:t>江苏华西村股份有限公司特种化纤厂，为本公司下属分厂</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华西码头</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360" w:lineRule="auto"/>
              <w:jc w:val="both"/>
              <w:rPr>
                <w:rFonts w:ascii="宋体" w:eastAsia="宋体" w:hAnsi="宋体" w:cs="宋体"/>
                <w:sz w:val="18"/>
                <w:szCs w:val="18"/>
              </w:rPr>
            </w:pPr>
            <w:r>
              <w:rPr>
                <w:rFonts w:ascii="宋体" w:eastAsia="宋体" w:hAnsi="宋体" w:cs="宋体"/>
                <w:sz w:val="18"/>
                <w:szCs w:val="18"/>
              </w:rPr>
              <w:t>江阴华西化工码头有限公司，为本公司全资子公司</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一村资本</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360" w:lineRule="auto"/>
              <w:jc w:val="both"/>
              <w:rPr>
                <w:rFonts w:ascii="宋体" w:eastAsia="宋体" w:hAnsi="宋体" w:cs="宋体"/>
                <w:sz w:val="18"/>
                <w:szCs w:val="18"/>
              </w:rPr>
            </w:pPr>
            <w:r>
              <w:rPr>
                <w:rFonts w:ascii="宋体" w:eastAsia="宋体" w:hAnsi="宋体" w:cs="宋体"/>
                <w:sz w:val="18"/>
                <w:szCs w:val="18"/>
              </w:rPr>
              <w:t>一村资本有限公司，为本公司参股公司，截至报告期末，公司持有其40.92%的股权</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上海启澜</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360" w:lineRule="auto"/>
              <w:jc w:val="both"/>
              <w:rPr>
                <w:rFonts w:ascii="宋体" w:eastAsia="宋体" w:hAnsi="宋体" w:cs="宋体"/>
                <w:sz w:val="18"/>
                <w:szCs w:val="18"/>
              </w:rPr>
            </w:pPr>
            <w:r>
              <w:rPr>
                <w:rFonts w:ascii="宋体" w:eastAsia="宋体" w:hAnsi="宋体" w:cs="宋体"/>
                <w:sz w:val="18"/>
                <w:szCs w:val="18"/>
              </w:rPr>
              <w:t>上海启澜企业管理咨询合伙企业（有限合伙），为公司控制的合伙企业，公司向上海启澜实缴出资人民币96,250万元</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索尔思光电</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360" w:lineRule="auto"/>
              <w:jc w:val="both"/>
              <w:rPr>
                <w:rFonts w:ascii="宋体" w:eastAsia="宋体" w:hAnsi="宋体" w:cs="宋体"/>
                <w:sz w:val="18"/>
                <w:szCs w:val="18"/>
              </w:rPr>
            </w:pPr>
            <w:r>
              <w:rPr>
                <w:rFonts w:ascii="宋体" w:eastAsia="宋体" w:hAnsi="宋体" w:cs="宋体"/>
                <w:sz w:val="18"/>
                <w:szCs w:val="18"/>
              </w:rPr>
              <w:t>Source Photonics Holdings (Cayman) Limited，为本公司参股公司，截至报告期末，公司通过上海启澜持有其6,549.65万股股份</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联储证券</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360" w:lineRule="auto"/>
              <w:jc w:val="both"/>
              <w:rPr>
                <w:rFonts w:ascii="宋体" w:eastAsia="宋体" w:hAnsi="宋体" w:cs="宋体"/>
                <w:sz w:val="18"/>
                <w:szCs w:val="18"/>
              </w:rPr>
            </w:pPr>
            <w:r>
              <w:rPr>
                <w:rFonts w:ascii="宋体" w:eastAsia="宋体" w:hAnsi="宋体" w:cs="宋体"/>
                <w:sz w:val="18"/>
                <w:szCs w:val="18"/>
              </w:rPr>
              <w:t>联储证券股份有限公司，为本公司参股公司，截至报告期末，公司持有其11.73%的股权</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华泰证券</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360" w:lineRule="auto"/>
              <w:jc w:val="both"/>
              <w:rPr>
                <w:rFonts w:ascii="宋体" w:eastAsia="宋体" w:hAnsi="宋体" w:cs="宋体"/>
                <w:sz w:val="18"/>
                <w:szCs w:val="18"/>
              </w:rPr>
            </w:pPr>
            <w:r>
              <w:rPr>
                <w:rFonts w:ascii="宋体" w:eastAsia="宋体" w:hAnsi="宋体" w:cs="宋体"/>
                <w:sz w:val="18"/>
                <w:szCs w:val="18"/>
              </w:rPr>
              <w:t>华泰证券股份有限公司，为本公司参股公司，截至报告期末，公司持有其1,280万股股份</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PTA</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精对苯二甲酸</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MEG</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乙二醇</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报告期</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2025年1月1日至2025年6月30日</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上年同期，上期</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2024年1月1日至2024年6月30日</w:t>
            </w:r>
          </w:p>
        </w:tc>
      </w:tr>
      <w:tr w:rsidR="00BD1BB9">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元、万元</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C87458">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BD1BB9" w:rsidRDefault="00452DEF" w:rsidP="00C87458">
            <w:pPr>
              <w:spacing w:line="360" w:lineRule="auto"/>
              <w:rPr>
                <w:rFonts w:ascii="宋体" w:eastAsia="宋体" w:hAnsi="宋体" w:cs="宋体"/>
                <w:sz w:val="18"/>
                <w:szCs w:val="18"/>
              </w:rPr>
            </w:pPr>
            <w:r>
              <w:rPr>
                <w:rFonts w:ascii="宋体" w:eastAsia="宋体" w:hAnsi="宋体" w:cs="宋体"/>
                <w:sz w:val="18"/>
                <w:szCs w:val="18"/>
              </w:rPr>
              <w:t>人民币元、</w:t>
            </w:r>
            <w:r w:rsidR="005935B9">
              <w:rPr>
                <w:rFonts w:ascii="宋体" w:eastAsia="宋体" w:hAnsi="宋体" w:cs="宋体"/>
                <w:sz w:val="18"/>
                <w:szCs w:val="18"/>
              </w:rPr>
              <w:t>人民币</w:t>
            </w:r>
            <w:r>
              <w:rPr>
                <w:rFonts w:ascii="宋体" w:eastAsia="宋体" w:hAnsi="宋体" w:cs="宋体"/>
                <w:sz w:val="18"/>
                <w:szCs w:val="18"/>
              </w:rPr>
              <w:t>万元</w:t>
            </w:r>
          </w:p>
        </w:tc>
      </w:tr>
    </w:tbl>
    <w:p w:rsidR="00BD1BB9" w:rsidRDefault="00452DEF">
      <w:r>
        <w:br w:type="page"/>
      </w:r>
    </w:p>
    <w:p w:rsidR="00BD1BB9" w:rsidRDefault="00452DEF">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BD1BB9" w:rsidRDefault="00452DEF">
      <w:pPr>
        <w:pStyle w:val="2"/>
        <w:spacing w:before="300" w:after="300" w:line="320" w:lineRule="exact"/>
        <w:rPr>
          <w:rFonts w:ascii="宋体" w:eastAsia="宋体" w:hAnsi="宋体" w:cs="宋体"/>
          <w:b/>
          <w:bCs/>
          <w:sz w:val="24"/>
          <w:szCs w:val="24"/>
        </w:rPr>
      </w:pPr>
      <w:bookmarkStart w:id="2" w:name="_Toc988891"/>
      <w:r>
        <w:rPr>
          <w:rFonts w:ascii="宋体" w:eastAsia="宋体" w:hAnsi="宋体" w:cs="宋体"/>
          <w:b/>
          <w:bCs/>
          <w:sz w:val="24"/>
          <w:szCs w:val="24"/>
        </w:rPr>
        <w:t>一、公司简介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华西股份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000936</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股票上市证券交易所</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公司的中文名称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公司的中文简称（如有）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华西股份</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公司的外文名称（如有）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BD1BB9" w:rsidRDefault="005935B9" w:rsidP="005935B9">
            <w:pPr>
              <w:spacing w:line="240" w:lineRule="exact"/>
              <w:rPr>
                <w:rFonts w:ascii="宋体" w:eastAsia="宋体" w:hAnsi="宋体" w:cs="宋体"/>
                <w:sz w:val="18"/>
                <w:szCs w:val="18"/>
              </w:rPr>
            </w:pPr>
            <w:r>
              <w:rPr>
                <w:rFonts w:ascii="宋体" w:eastAsia="宋体" w:hAnsi="宋体" w:cs="宋体"/>
                <w:sz w:val="18"/>
                <w:szCs w:val="18"/>
              </w:rPr>
              <w:t>JIANGSU</w:t>
            </w:r>
            <w:r>
              <w:rPr>
                <w:rFonts w:ascii="宋体" w:eastAsia="宋体" w:hAnsi="宋体" w:cs="宋体" w:hint="eastAsia"/>
                <w:sz w:val="18"/>
                <w:szCs w:val="18"/>
              </w:rPr>
              <w:t xml:space="preserve"> </w:t>
            </w:r>
            <w:r w:rsidR="00452DEF">
              <w:rPr>
                <w:rFonts w:ascii="宋体" w:eastAsia="宋体" w:hAnsi="宋体" w:cs="宋体"/>
                <w:sz w:val="18"/>
                <w:szCs w:val="18"/>
              </w:rPr>
              <w:t>HUAXICUN CO.,LTD.</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公司的法定代表人</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吴协恩</w:t>
            </w:r>
          </w:p>
        </w:tc>
      </w:tr>
    </w:tbl>
    <w:p w:rsidR="00BD1BB9" w:rsidRDefault="00452DEF">
      <w:pPr>
        <w:pStyle w:val="2"/>
        <w:spacing w:before="300" w:after="300" w:line="320" w:lineRule="exact"/>
        <w:rPr>
          <w:rFonts w:ascii="宋体" w:eastAsia="宋体" w:hAnsi="宋体" w:cs="宋体"/>
          <w:b/>
          <w:bCs/>
          <w:sz w:val="24"/>
          <w:szCs w:val="24"/>
        </w:rPr>
      </w:pPr>
      <w:bookmarkStart w:id="3" w:name="_Toc988892"/>
      <w:r>
        <w:rPr>
          <w:rFonts w:ascii="宋体" w:eastAsia="宋体" w:hAnsi="宋体" w:cs="宋体"/>
          <w:b/>
          <w:bCs/>
          <w:sz w:val="24"/>
          <w:szCs w:val="24"/>
        </w:rPr>
        <w:t>二、联系人和联系方式</w:t>
      </w:r>
      <w:bookmarkEnd w:id="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6426"/>
      </w:tblGrid>
      <w:tr w:rsidR="00F8078C" w:rsidTr="00927F8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8078C" w:rsidRDefault="00F8078C"/>
        </w:tc>
        <w:tc>
          <w:tcPr>
            <w:tcW w:w="6426" w:type="dxa"/>
            <w:tcBorders>
              <w:top w:val="single" w:sz="2" w:space="0" w:color="auto"/>
              <w:left w:val="single" w:sz="2" w:space="0" w:color="auto"/>
              <w:bottom w:val="single" w:sz="2" w:space="0" w:color="auto"/>
              <w:right w:val="single" w:sz="2" w:space="0" w:color="auto"/>
            </w:tcBorders>
            <w:shd w:val="clear" w:color="auto" w:fill="D3D3D3"/>
            <w:vAlign w:val="center"/>
          </w:tcPr>
          <w:p w:rsidR="00F8078C" w:rsidRDefault="00F8078C">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r>
      <w:tr w:rsidR="00F8078C" w:rsidTr="00927F8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8078C" w:rsidRDefault="00F8078C">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6426" w:type="dxa"/>
            <w:tcBorders>
              <w:top w:val="single" w:sz="2" w:space="0" w:color="auto"/>
              <w:left w:val="single" w:sz="2" w:space="0" w:color="auto"/>
              <w:bottom w:val="single" w:sz="2" w:space="0" w:color="auto"/>
              <w:right w:val="single" w:sz="2" w:space="0" w:color="auto"/>
            </w:tcBorders>
            <w:vAlign w:val="center"/>
          </w:tcPr>
          <w:p w:rsidR="00F8078C" w:rsidRDefault="00F8078C">
            <w:pPr>
              <w:spacing w:line="240" w:lineRule="exact"/>
              <w:rPr>
                <w:rFonts w:ascii="宋体" w:eastAsia="宋体" w:hAnsi="宋体" w:cs="宋体"/>
                <w:sz w:val="18"/>
                <w:szCs w:val="18"/>
              </w:rPr>
            </w:pPr>
            <w:r>
              <w:rPr>
                <w:rFonts w:ascii="宋体" w:eastAsia="宋体" w:hAnsi="宋体" w:cs="宋体"/>
                <w:sz w:val="18"/>
                <w:szCs w:val="18"/>
              </w:rPr>
              <w:t>王学良</w:t>
            </w:r>
          </w:p>
        </w:tc>
      </w:tr>
      <w:tr w:rsidR="00F8078C" w:rsidTr="00927F8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8078C" w:rsidRDefault="00F8078C">
            <w:pPr>
              <w:spacing w:before="40" w:after="40" w:line="240" w:lineRule="exact"/>
              <w:rPr>
                <w:rFonts w:ascii="宋体" w:eastAsia="宋体" w:hAnsi="宋体" w:cs="宋体"/>
                <w:sz w:val="18"/>
                <w:szCs w:val="18"/>
              </w:rPr>
            </w:pPr>
            <w:r>
              <w:rPr>
                <w:rFonts w:ascii="宋体" w:eastAsia="宋体" w:hAnsi="宋体" w:cs="宋体"/>
                <w:sz w:val="18"/>
                <w:szCs w:val="18"/>
              </w:rPr>
              <w:t>联系地址</w:t>
            </w:r>
          </w:p>
        </w:tc>
        <w:tc>
          <w:tcPr>
            <w:tcW w:w="6426" w:type="dxa"/>
            <w:tcBorders>
              <w:top w:val="single" w:sz="2" w:space="0" w:color="auto"/>
              <w:left w:val="single" w:sz="2" w:space="0" w:color="auto"/>
              <w:bottom w:val="single" w:sz="2" w:space="0" w:color="auto"/>
              <w:right w:val="single" w:sz="2" w:space="0" w:color="auto"/>
            </w:tcBorders>
            <w:vAlign w:val="center"/>
          </w:tcPr>
          <w:p w:rsidR="00F8078C" w:rsidRDefault="00F8078C">
            <w:pPr>
              <w:spacing w:line="240" w:lineRule="exact"/>
              <w:rPr>
                <w:rFonts w:ascii="宋体" w:eastAsia="宋体" w:hAnsi="宋体" w:cs="宋体"/>
                <w:sz w:val="18"/>
                <w:szCs w:val="18"/>
              </w:rPr>
            </w:pPr>
            <w:r>
              <w:rPr>
                <w:rFonts w:ascii="宋体" w:eastAsia="宋体" w:hAnsi="宋体" w:cs="宋体"/>
                <w:sz w:val="18"/>
                <w:szCs w:val="18"/>
              </w:rPr>
              <w:t>江苏省江阴市华士镇华西工业园</w:t>
            </w:r>
            <w:proofErr w:type="gramStart"/>
            <w:r>
              <w:rPr>
                <w:rFonts w:ascii="宋体" w:eastAsia="宋体" w:hAnsi="宋体" w:cs="宋体"/>
                <w:sz w:val="18"/>
                <w:szCs w:val="18"/>
              </w:rPr>
              <w:t>泾浜</w:t>
            </w:r>
            <w:proofErr w:type="gramEnd"/>
            <w:r>
              <w:rPr>
                <w:rFonts w:ascii="宋体" w:eastAsia="宋体" w:hAnsi="宋体" w:cs="宋体"/>
                <w:sz w:val="18"/>
                <w:szCs w:val="18"/>
              </w:rPr>
              <w:t>路88号</w:t>
            </w:r>
          </w:p>
        </w:tc>
      </w:tr>
      <w:tr w:rsidR="00F8078C" w:rsidTr="00927F8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8078C" w:rsidRDefault="00F8078C">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6426" w:type="dxa"/>
            <w:tcBorders>
              <w:top w:val="single" w:sz="2" w:space="0" w:color="auto"/>
              <w:left w:val="single" w:sz="2" w:space="0" w:color="auto"/>
              <w:bottom w:val="single" w:sz="2" w:space="0" w:color="auto"/>
              <w:right w:val="single" w:sz="2" w:space="0" w:color="auto"/>
            </w:tcBorders>
            <w:vAlign w:val="center"/>
          </w:tcPr>
          <w:p w:rsidR="00F8078C" w:rsidRDefault="00F8078C">
            <w:pPr>
              <w:spacing w:line="240" w:lineRule="exact"/>
              <w:rPr>
                <w:rFonts w:ascii="宋体" w:eastAsia="宋体" w:hAnsi="宋体" w:cs="宋体"/>
                <w:sz w:val="18"/>
                <w:szCs w:val="18"/>
              </w:rPr>
            </w:pPr>
            <w:r>
              <w:rPr>
                <w:rFonts w:ascii="宋体" w:eastAsia="宋体" w:hAnsi="宋体" w:cs="宋体"/>
                <w:sz w:val="18"/>
                <w:szCs w:val="18"/>
              </w:rPr>
              <w:t>0510-86217188</w:t>
            </w:r>
          </w:p>
        </w:tc>
      </w:tr>
      <w:tr w:rsidR="00F8078C" w:rsidTr="00927F8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8078C" w:rsidRDefault="00F8078C">
            <w:pPr>
              <w:spacing w:before="40" w:after="40" w:line="240" w:lineRule="exact"/>
              <w:rPr>
                <w:rFonts w:ascii="宋体" w:eastAsia="宋体" w:hAnsi="宋体" w:cs="宋体"/>
                <w:sz w:val="18"/>
                <w:szCs w:val="18"/>
              </w:rPr>
            </w:pPr>
            <w:r>
              <w:rPr>
                <w:rFonts w:ascii="宋体" w:eastAsia="宋体" w:hAnsi="宋体" w:cs="宋体"/>
                <w:sz w:val="18"/>
                <w:szCs w:val="18"/>
              </w:rPr>
              <w:t>传真</w:t>
            </w:r>
          </w:p>
        </w:tc>
        <w:tc>
          <w:tcPr>
            <w:tcW w:w="6426" w:type="dxa"/>
            <w:tcBorders>
              <w:top w:val="single" w:sz="2" w:space="0" w:color="auto"/>
              <w:left w:val="single" w:sz="2" w:space="0" w:color="auto"/>
              <w:bottom w:val="single" w:sz="2" w:space="0" w:color="auto"/>
              <w:right w:val="single" w:sz="2" w:space="0" w:color="auto"/>
            </w:tcBorders>
            <w:vAlign w:val="center"/>
          </w:tcPr>
          <w:p w:rsidR="00F8078C" w:rsidRDefault="00F8078C">
            <w:pPr>
              <w:spacing w:line="240" w:lineRule="exact"/>
              <w:rPr>
                <w:rFonts w:ascii="宋体" w:eastAsia="宋体" w:hAnsi="宋体" w:cs="宋体"/>
                <w:sz w:val="18"/>
                <w:szCs w:val="18"/>
              </w:rPr>
            </w:pPr>
            <w:r>
              <w:rPr>
                <w:rFonts w:ascii="宋体" w:eastAsia="宋体" w:hAnsi="宋体" w:cs="宋体"/>
                <w:sz w:val="18"/>
                <w:szCs w:val="18"/>
              </w:rPr>
              <w:t>0510-86217177</w:t>
            </w:r>
          </w:p>
        </w:tc>
      </w:tr>
      <w:tr w:rsidR="00F8078C" w:rsidTr="00927F8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8078C" w:rsidRDefault="00F8078C">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6426" w:type="dxa"/>
            <w:tcBorders>
              <w:top w:val="single" w:sz="2" w:space="0" w:color="auto"/>
              <w:left w:val="single" w:sz="2" w:space="0" w:color="auto"/>
              <w:bottom w:val="single" w:sz="2" w:space="0" w:color="auto"/>
              <w:right w:val="single" w:sz="2" w:space="0" w:color="auto"/>
            </w:tcBorders>
            <w:vAlign w:val="center"/>
          </w:tcPr>
          <w:p w:rsidR="00F8078C" w:rsidRDefault="00F8078C">
            <w:pPr>
              <w:spacing w:line="240" w:lineRule="exact"/>
              <w:rPr>
                <w:rFonts w:ascii="宋体" w:eastAsia="宋体" w:hAnsi="宋体" w:cs="宋体"/>
                <w:sz w:val="18"/>
                <w:szCs w:val="18"/>
              </w:rPr>
            </w:pPr>
            <w:r>
              <w:rPr>
                <w:rFonts w:ascii="宋体" w:eastAsia="宋体" w:hAnsi="宋体" w:cs="宋体"/>
                <w:sz w:val="18"/>
                <w:szCs w:val="18"/>
              </w:rPr>
              <w:t>wangxl@cnhuaxicun.com</w:t>
            </w:r>
          </w:p>
        </w:tc>
      </w:tr>
    </w:tbl>
    <w:p w:rsidR="00BD1BB9" w:rsidRDefault="00452DEF">
      <w:pPr>
        <w:pStyle w:val="2"/>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三、其他情况</w:t>
      </w:r>
      <w:bookmarkEnd w:id="4"/>
    </w:p>
    <w:p w:rsidR="00BD1BB9" w:rsidRDefault="00452DEF">
      <w:pPr>
        <w:pStyle w:val="3"/>
        <w:spacing w:line="280" w:lineRule="exact"/>
        <w:jc w:val="left"/>
        <w:rPr>
          <w:rFonts w:ascii="宋体" w:hAnsi="宋体" w:cs="宋体"/>
          <w:b/>
          <w:bCs/>
        </w:rPr>
      </w:pPr>
      <w:bookmarkStart w:id="5" w:name="_Toc988894"/>
      <w:r>
        <w:rPr>
          <w:rFonts w:ascii="宋体" w:hAnsi="宋体" w:cs="宋体"/>
          <w:b/>
          <w:bCs/>
        </w:rPr>
        <w:t>1、公司联系方式</w:t>
      </w:r>
      <w:bookmarkEnd w:id="5"/>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公司注册地址、公司办公地址及其邮政编码、公司网址、电子信箱等在报告期是否变化</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公司注册地址、公司办公地址及其邮政编码、公司网址、电子信箱等在报告期无变化，具体可参见2024年年报。</w:t>
      </w:r>
    </w:p>
    <w:p w:rsidR="00BD1BB9" w:rsidRDefault="00452DEF">
      <w:pPr>
        <w:pStyle w:val="3"/>
        <w:spacing w:line="280" w:lineRule="exact"/>
        <w:jc w:val="left"/>
        <w:rPr>
          <w:rFonts w:ascii="宋体" w:hAnsi="宋体" w:cs="宋体"/>
          <w:b/>
          <w:bCs/>
        </w:rPr>
      </w:pPr>
      <w:bookmarkStart w:id="6" w:name="_Toc988895"/>
      <w:r>
        <w:rPr>
          <w:rFonts w:ascii="宋体" w:hAnsi="宋体" w:cs="宋体"/>
          <w:b/>
          <w:bCs/>
        </w:rPr>
        <w:t>2、信息披露及备置地点</w:t>
      </w:r>
      <w:bookmarkEnd w:id="6"/>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信息披露及备置地点在报告期是否变化</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公司披露半年度报告的证券交易所网站和媒体名称及网址，公司半年度报告备置地在报告期无变化，具体可参见2024年年报。</w:t>
      </w:r>
    </w:p>
    <w:p w:rsidR="00BD1BB9" w:rsidRDefault="00452DEF">
      <w:pPr>
        <w:pStyle w:val="3"/>
        <w:spacing w:line="280" w:lineRule="exact"/>
        <w:jc w:val="left"/>
        <w:rPr>
          <w:rFonts w:ascii="宋体" w:hAnsi="宋体" w:cs="宋体"/>
          <w:b/>
          <w:bCs/>
        </w:rPr>
      </w:pPr>
      <w:bookmarkStart w:id="7" w:name="_Toc988896"/>
      <w:r>
        <w:rPr>
          <w:rFonts w:ascii="宋体" w:hAnsi="宋体" w:cs="宋体"/>
          <w:b/>
          <w:bCs/>
        </w:rPr>
        <w:t>3、其他有关资料</w:t>
      </w:r>
      <w:bookmarkEnd w:id="7"/>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其他有关资料在报告期是否变更情况</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t>四、主要会计数据和财务指标</w:t>
      </w:r>
      <w:bookmarkEnd w:id="8"/>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1,636,827,797.80</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5.28%</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166,011,420.16</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79,374,719.64</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109.15%</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166,014,608.41</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79,315,393.53</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109.31%</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117,082,032.66</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15,448,105.88</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657.91%</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0.19</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111.11%</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0.19</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111.11%</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3.15%</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F8078C" w:rsidP="00F8078C">
            <w:pPr>
              <w:spacing w:line="240" w:lineRule="exact"/>
              <w:jc w:val="right"/>
              <w:rPr>
                <w:rFonts w:ascii="宋体" w:eastAsia="宋体" w:hAnsi="宋体" w:cs="宋体"/>
                <w:sz w:val="18"/>
                <w:szCs w:val="18"/>
              </w:rPr>
            </w:pPr>
            <w:r>
              <w:rPr>
                <w:rFonts w:ascii="宋体" w:eastAsia="宋体" w:hAnsi="宋体" w:cs="宋体"/>
                <w:sz w:val="18"/>
                <w:szCs w:val="18"/>
              </w:rPr>
              <w:t>增加了</w:t>
            </w:r>
            <w:r w:rsidR="00452DEF">
              <w:rPr>
                <w:rFonts w:ascii="宋体" w:eastAsia="宋体" w:hAnsi="宋体" w:cs="宋体"/>
                <w:sz w:val="18"/>
                <w:szCs w:val="18"/>
              </w:rPr>
              <w:t>1.61</w:t>
            </w:r>
            <w:r>
              <w:rPr>
                <w:rFonts w:ascii="宋体" w:eastAsia="宋体" w:hAnsi="宋体" w:cs="宋体"/>
                <w:sz w:val="18"/>
                <w:szCs w:val="18"/>
              </w:rPr>
              <w:t>个百分点</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6,874,005,823.10</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6,589,616,085.65</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4.32%</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5,333,141,872.27</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5,183,820,465.10</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2.88%</w:t>
            </w:r>
          </w:p>
        </w:tc>
      </w:tr>
    </w:tbl>
    <w:p w:rsidR="00BD1BB9" w:rsidRDefault="00452DEF">
      <w:pPr>
        <w:pStyle w:val="2"/>
        <w:spacing w:before="300" w:after="300" w:line="320" w:lineRule="exact"/>
        <w:rPr>
          <w:rFonts w:ascii="宋体" w:eastAsia="宋体" w:hAnsi="宋体" w:cs="宋体"/>
          <w:b/>
          <w:bCs/>
          <w:sz w:val="24"/>
          <w:szCs w:val="24"/>
        </w:rPr>
      </w:pPr>
      <w:bookmarkStart w:id="9" w:name="_Toc988898"/>
      <w:r>
        <w:rPr>
          <w:rFonts w:ascii="宋体" w:eastAsia="宋体" w:hAnsi="宋体" w:cs="宋体"/>
          <w:b/>
          <w:bCs/>
          <w:sz w:val="24"/>
          <w:szCs w:val="24"/>
        </w:rPr>
        <w:t>五、境内外会计准则下会计数据差异</w:t>
      </w:r>
      <w:bookmarkEnd w:id="9"/>
    </w:p>
    <w:p w:rsidR="00BD1BB9" w:rsidRDefault="00452DEF">
      <w:pPr>
        <w:pStyle w:val="3"/>
        <w:spacing w:line="280" w:lineRule="exact"/>
        <w:jc w:val="left"/>
        <w:rPr>
          <w:rFonts w:ascii="宋体" w:hAnsi="宋体" w:cs="宋体"/>
          <w:b/>
          <w:bCs/>
        </w:rPr>
      </w:pPr>
      <w:bookmarkStart w:id="10" w:name="_Toc988899"/>
      <w:r>
        <w:rPr>
          <w:rFonts w:ascii="宋体" w:hAnsi="宋体" w:cs="宋体"/>
          <w:b/>
          <w:bCs/>
        </w:rPr>
        <w:t>1、同时按照国际会计准则与按照中国会计准则披露的财务报告中净利润和净资产差异情况</w:t>
      </w:r>
      <w:bookmarkEnd w:id="10"/>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公司报告期不存在按照国际会计准则与按照中国会计准则披露的财务报告中净利润和净资产差异情况。</w:t>
      </w:r>
    </w:p>
    <w:p w:rsidR="00BD1BB9" w:rsidRDefault="00452DEF">
      <w:pPr>
        <w:pStyle w:val="3"/>
        <w:spacing w:line="280" w:lineRule="exact"/>
        <w:jc w:val="left"/>
        <w:rPr>
          <w:rFonts w:ascii="宋体" w:hAnsi="宋体" w:cs="宋体"/>
          <w:b/>
          <w:bCs/>
        </w:rPr>
      </w:pPr>
      <w:bookmarkStart w:id="11" w:name="_Toc988900"/>
      <w:r>
        <w:rPr>
          <w:rFonts w:ascii="宋体" w:hAnsi="宋体" w:cs="宋体"/>
          <w:b/>
          <w:bCs/>
        </w:rPr>
        <w:t>2、同时按照境外会计准则与按照中国会计准则披露的财务报告中净利润和净资产差异情况</w:t>
      </w:r>
      <w:bookmarkEnd w:id="11"/>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公司报告期不存在按照境外会计准则与按照中国会计准则披露的财务报告中净利润和净资产差异情况。</w:t>
      </w:r>
    </w:p>
    <w:p w:rsidR="00BD1BB9" w:rsidRDefault="00452DEF">
      <w:pPr>
        <w:pStyle w:val="2"/>
        <w:spacing w:before="300" w:after="300" w:line="320" w:lineRule="exact"/>
        <w:rPr>
          <w:rFonts w:ascii="宋体" w:eastAsia="宋体" w:hAnsi="宋体" w:cs="宋体"/>
          <w:b/>
          <w:bCs/>
          <w:sz w:val="24"/>
          <w:szCs w:val="24"/>
        </w:rPr>
      </w:pPr>
      <w:bookmarkStart w:id="12" w:name="_Toc988901"/>
      <w:r>
        <w:rPr>
          <w:rFonts w:ascii="宋体" w:eastAsia="宋体" w:hAnsi="宋体" w:cs="宋体"/>
          <w:b/>
          <w:bCs/>
          <w:sz w:val="24"/>
          <w:szCs w:val="24"/>
        </w:rPr>
        <w:t>六、非经常性损益项目及金额</w:t>
      </w:r>
      <w:bookmarkEnd w:id="12"/>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说明</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-4,897.84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5,790.41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-3,188.25</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w:t>
      </w:r>
      <w:r>
        <w:rPr>
          <w:rFonts w:ascii="宋体" w:eastAsia="宋体" w:hAnsi="宋体" w:cs="宋体"/>
          <w:sz w:val="18"/>
          <w:szCs w:val="18"/>
        </w:rPr>
        <w:lastRenderedPageBreak/>
        <w:t>项目的情况说明</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612F73">
            <w:pPr>
              <w:spacing w:line="240" w:lineRule="exact"/>
              <w:jc w:val="both"/>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1,272,115.37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612F73">
            <w:pPr>
              <w:spacing w:line="240" w:lineRule="exact"/>
              <w:jc w:val="both"/>
              <w:rPr>
                <w:rFonts w:ascii="宋体" w:eastAsia="宋体" w:hAnsi="宋体" w:cs="宋体"/>
                <w:sz w:val="18"/>
                <w:szCs w:val="18"/>
              </w:rPr>
            </w:pPr>
            <w:r>
              <w:rPr>
                <w:rFonts w:ascii="宋体" w:eastAsia="宋体" w:hAnsi="宋体" w:cs="宋体"/>
                <w:sz w:val="18"/>
                <w:szCs w:val="18"/>
              </w:rPr>
              <w:t>公司经营范围包括：创业投资；利用自有资产对外投资等。本期交易性金融资产、其他非流动金融资产产生的公允价值变动损益和处置交易性金融资产、其他非流动金融资产产生的投资收益系公司的经常性损益。</w:t>
            </w:r>
          </w:p>
        </w:tc>
      </w:tr>
    </w:tbl>
    <w:p w:rsidR="00BD1BB9" w:rsidRDefault="00452DEF">
      <w:r>
        <w:br w:type="page"/>
      </w:r>
    </w:p>
    <w:p w:rsidR="00BD1BB9" w:rsidRDefault="00452DEF">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管理层讨论与分析</w:t>
      </w:r>
      <w:bookmarkEnd w:id="13"/>
    </w:p>
    <w:p w:rsidR="00BD1BB9" w:rsidRDefault="00452DEF">
      <w:pPr>
        <w:pStyle w:val="2"/>
        <w:spacing w:before="300" w:after="300" w:line="320" w:lineRule="exact"/>
        <w:rPr>
          <w:rFonts w:ascii="宋体" w:eastAsia="宋体" w:hAnsi="宋体" w:cs="宋体"/>
          <w:b/>
          <w:bCs/>
          <w:sz w:val="24"/>
          <w:szCs w:val="24"/>
        </w:rPr>
      </w:pPr>
      <w:bookmarkStart w:id="14" w:name="_Toc988903"/>
      <w:r>
        <w:rPr>
          <w:rFonts w:ascii="宋体" w:eastAsia="宋体" w:hAnsi="宋体" w:cs="宋体"/>
          <w:b/>
          <w:bCs/>
          <w:sz w:val="24"/>
          <w:szCs w:val="24"/>
        </w:rPr>
        <w:t>一、报告期内公司从事的主要业务</w:t>
      </w:r>
      <w:bookmarkEnd w:id="14"/>
    </w:p>
    <w:p w:rsidR="004A3B7E" w:rsidRDefault="00452DEF">
      <w:pPr>
        <w:pStyle w:val="a3"/>
        <w:spacing w:before="40" w:beforeAutospacing="0" w:after="40" w:afterAutospacing="0" w:line="276" w:lineRule="auto"/>
        <w:ind w:firstLine="360"/>
        <w:jc w:val="both"/>
        <w:divId w:val="2043088763"/>
      </w:pPr>
      <w:r>
        <w:rPr>
          <w:rStyle w:val="a4"/>
          <w:rFonts w:hint="eastAsia"/>
          <w:sz w:val="18"/>
          <w:szCs w:val="18"/>
        </w:rPr>
        <w:t>（一）公司主要业务情况</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公司主要从事涤纶化纤的研发、生产和销售，石化仓储物流服务。</w:t>
      </w:r>
    </w:p>
    <w:p w:rsidR="004A3B7E" w:rsidRDefault="00452DEF">
      <w:pPr>
        <w:pStyle w:val="a3"/>
        <w:spacing w:before="40" w:beforeAutospacing="0" w:after="40" w:afterAutospacing="0" w:line="276" w:lineRule="auto"/>
        <w:ind w:firstLine="360"/>
        <w:jc w:val="both"/>
        <w:divId w:val="2043088763"/>
      </w:pPr>
      <w:r>
        <w:rPr>
          <w:rStyle w:val="a4"/>
          <w:rFonts w:hint="eastAsia"/>
          <w:sz w:val="18"/>
          <w:szCs w:val="18"/>
        </w:rPr>
        <w:t>1、涤纶化纤业务</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公司化纤产品主要为涤纶短纤维，主要包括水刺专用涤纶短纤维、半消光涤纶短纤维、涡流纺专用涤纶短纤维、有光涤纶短纤维、荧光增白涤纶短纤维等。水刺专用涤纶短纤维主要应用于水刺、针刺等设备，最终产品被广泛应用到卫材、医疗和擦拭，汽车、过滤、皮革和工程基建等领域。半消光涤纶短纤维、</w:t>
      </w:r>
      <w:r w:rsidR="00E32CF4">
        <w:rPr>
          <w:rFonts w:hint="eastAsia"/>
          <w:sz w:val="18"/>
          <w:szCs w:val="18"/>
        </w:rPr>
        <w:t>涡流</w:t>
      </w:r>
      <w:proofErr w:type="gramStart"/>
      <w:r w:rsidR="00E32CF4">
        <w:rPr>
          <w:rFonts w:hint="eastAsia"/>
          <w:sz w:val="18"/>
          <w:szCs w:val="18"/>
        </w:rPr>
        <w:t>纺</w:t>
      </w:r>
      <w:proofErr w:type="gramEnd"/>
      <w:r w:rsidR="00E32CF4">
        <w:rPr>
          <w:rFonts w:hint="eastAsia"/>
          <w:sz w:val="18"/>
          <w:szCs w:val="18"/>
        </w:rPr>
        <w:t>专用涤纶短纤维、</w:t>
      </w:r>
      <w:r>
        <w:rPr>
          <w:rFonts w:hint="eastAsia"/>
          <w:sz w:val="18"/>
          <w:szCs w:val="18"/>
        </w:rPr>
        <w:t>有光涤纶短纤维、荧光增白涤纶短纤维等主要用于纺织行业，单独纺纱或与棉、粘胶纤维、麻、毛、维纶等混纺，所得纱线用于服饰纺织、家装面料等。</w:t>
      </w:r>
    </w:p>
    <w:p w:rsidR="004A3B7E" w:rsidRDefault="00452DEF">
      <w:pPr>
        <w:pStyle w:val="a3"/>
        <w:spacing w:before="40" w:beforeAutospacing="0" w:after="40" w:afterAutospacing="0" w:line="276" w:lineRule="auto"/>
        <w:ind w:firstLine="360"/>
        <w:jc w:val="both"/>
        <w:divId w:val="2043088763"/>
      </w:pPr>
      <w:r>
        <w:rPr>
          <w:rFonts w:hint="eastAsia"/>
          <w:sz w:val="18"/>
          <w:szCs w:val="18"/>
        </w:rPr>
        <w:t>（1）采购模式</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公司涤纶化纤业务所需大宗原材料主要为精对苯二甲酸（PTA）和乙二醇（MEG）。PTA供应商的选择范围相对较小，供应商相对稳定。公司对原材料的采购通常是和生产厂家直接协商，选择有竞争力的供应商建立长期稳定的合作关系。 PTA主要以合同货和现货相结合的方式采购，MEG主要以现货方式采购。</w:t>
      </w:r>
    </w:p>
    <w:p w:rsidR="004A3B7E" w:rsidRDefault="00452DEF">
      <w:pPr>
        <w:pStyle w:val="a3"/>
        <w:spacing w:before="40" w:beforeAutospacing="0" w:after="40" w:afterAutospacing="0" w:line="276" w:lineRule="auto"/>
        <w:ind w:firstLine="360"/>
        <w:jc w:val="both"/>
        <w:divId w:val="2043088763"/>
      </w:pPr>
      <w:r>
        <w:rPr>
          <w:rFonts w:hint="eastAsia"/>
          <w:sz w:val="18"/>
          <w:szCs w:val="18"/>
        </w:rPr>
        <w:t>（2）生产模式</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化纤厂生产车间主要有8个，其中聚酯车间3个，纺丝车间5个。目前已形成年产各类涤纶短纤维50万吨的生产能力，生产设备工艺全套引进德国吉玛公司、德国纽玛格公司、日本东洋纺的生产装置及工艺流程。聚酯生产中心采用DCS集散型控制系统，实现了自动化生产。短丝生产中心采用了PCS集散型电脑控制，可生产各种规格纺织类、非织造类涤纶短纤维。</w:t>
      </w:r>
    </w:p>
    <w:p w:rsidR="004A3B7E" w:rsidRDefault="00452DEF">
      <w:pPr>
        <w:pStyle w:val="a3"/>
        <w:spacing w:before="40" w:beforeAutospacing="0" w:after="40" w:afterAutospacing="0" w:line="276" w:lineRule="auto"/>
        <w:ind w:firstLine="360"/>
        <w:jc w:val="both"/>
        <w:divId w:val="2043088763"/>
      </w:pPr>
      <w:r>
        <w:rPr>
          <w:rFonts w:hint="eastAsia"/>
          <w:sz w:val="18"/>
          <w:szCs w:val="18"/>
        </w:rPr>
        <w:t>涤纶短纤维的生产流程如下：备料（PTA+MEG）→打浆→酯化→缩聚→熔体输送→熔体过滤器→纺丝→卷绕→横动→集束→牵伸→叠丝→蒸汽预热箱→卷曲→定型→切断机→检验（自检）→打包→成品检验→成品入库。</w:t>
      </w:r>
    </w:p>
    <w:p w:rsidR="004A3B7E" w:rsidRDefault="00452DEF">
      <w:pPr>
        <w:pStyle w:val="a3"/>
        <w:spacing w:before="40" w:beforeAutospacing="0" w:after="40" w:afterAutospacing="0" w:line="276" w:lineRule="auto"/>
        <w:ind w:firstLine="360"/>
        <w:jc w:val="both"/>
        <w:divId w:val="2043088763"/>
      </w:pPr>
      <w:r>
        <w:rPr>
          <w:rFonts w:hint="eastAsia"/>
          <w:sz w:val="18"/>
          <w:szCs w:val="18"/>
        </w:rPr>
        <w:t>（3）销售模式</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化纤厂的销售市场主要分为两大类，一类是针对传统纺织行业的客户市场，一类是针对非织造行业的客户市场。化纤厂的销售政策主要以市场为导向，同时兼顾出口政策的调整及汇率变化，适时调整销售策略，追求可持续效益。在两大类市场的基础上，结合现有市场客户群及潜在客户群进行市场细分，针对不同类别的客户采取不同的营销策略。化纤厂现有13条涤纶短纤维生产线，可以根据客户需求生产各类差异化产品。</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化纤厂的销售模式主要分为现货销售和长期合作销售。现货销售是一单一结，长期合作销售是和稳定的客户以月初报价、按月均价结算销售。化纤厂以直销为主，直销客户占比80%-90%。</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化纤厂销售部主要分为内销、外贸和后台三个业务团队。内销负责国内市场的销售，外贸负责国外市场的开拓和销售，后台负责产品订单接收和内勤管理。化纤厂注重销售人员的培养，销售队伍稳定。销售部每年会统计客户满意度并综合分析，提出相应的改进措施，以持续提高客户满意度。</w:t>
      </w:r>
    </w:p>
    <w:p w:rsidR="004A3B7E" w:rsidRDefault="00452DEF">
      <w:pPr>
        <w:pStyle w:val="a3"/>
        <w:spacing w:before="40" w:beforeAutospacing="0" w:after="40" w:afterAutospacing="0" w:line="276" w:lineRule="auto"/>
        <w:ind w:firstLine="360"/>
        <w:jc w:val="both"/>
        <w:divId w:val="2043088763"/>
      </w:pPr>
      <w:r>
        <w:rPr>
          <w:rFonts w:hint="eastAsia"/>
          <w:sz w:val="18"/>
          <w:szCs w:val="18"/>
        </w:rPr>
        <w:t>涤纶短纤为郑州商品交易所挂牌上市品种，公司通过合理利用期货金融工具，对企业库存进行保值操作，灵活调节产品库存、盘活资金，对预防市场突发情况，稳定企业经营发挥了积极作用。</w:t>
      </w:r>
    </w:p>
    <w:p w:rsidR="004A3B7E" w:rsidRDefault="00452DEF">
      <w:pPr>
        <w:pStyle w:val="a3"/>
        <w:spacing w:before="40" w:beforeAutospacing="0" w:after="40" w:afterAutospacing="0" w:line="276" w:lineRule="auto"/>
        <w:ind w:firstLine="360"/>
        <w:jc w:val="both"/>
        <w:divId w:val="2043088763"/>
      </w:pPr>
      <w:r>
        <w:rPr>
          <w:rFonts w:hint="eastAsia"/>
          <w:sz w:val="18"/>
          <w:szCs w:val="18"/>
        </w:rPr>
        <w:lastRenderedPageBreak/>
        <w:t>公司同时兼顾国内、国外市场，根据市场变化和消费导向适时调整销售策略，注重打造企业品牌，已连续多年获得“江苏省重点培育和发展的国际知名品牌”。</w:t>
      </w:r>
    </w:p>
    <w:p w:rsidR="004A3B7E" w:rsidRDefault="00452DEF">
      <w:pPr>
        <w:pStyle w:val="a3"/>
        <w:spacing w:before="40" w:beforeAutospacing="0" w:after="40" w:afterAutospacing="0" w:line="276" w:lineRule="auto"/>
        <w:ind w:firstLine="360"/>
        <w:jc w:val="both"/>
        <w:divId w:val="2043088763"/>
      </w:pPr>
      <w:r>
        <w:rPr>
          <w:rStyle w:val="a4"/>
          <w:rFonts w:hint="eastAsia"/>
          <w:sz w:val="18"/>
          <w:szCs w:val="18"/>
        </w:rPr>
        <w:t> </w:t>
      </w:r>
    </w:p>
    <w:p w:rsidR="004A3B7E" w:rsidRDefault="00452DEF">
      <w:pPr>
        <w:pStyle w:val="a3"/>
        <w:spacing w:before="40" w:beforeAutospacing="0" w:after="40" w:afterAutospacing="0" w:line="276" w:lineRule="auto"/>
        <w:ind w:firstLine="360"/>
        <w:jc w:val="both"/>
        <w:divId w:val="2043088763"/>
      </w:pPr>
      <w:r>
        <w:rPr>
          <w:rStyle w:val="a4"/>
          <w:rFonts w:hint="eastAsia"/>
          <w:sz w:val="18"/>
          <w:szCs w:val="18"/>
        </w:rPr>
        <w:t>2、石化仓储业务</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公司的石化仓储业务主要由全资子公司华西码头开展。华西码头位于苏、锡、常化工企业中心区，紧邻长江、连接京杭大运河，顺长江而上可直达长江中上游主要城市，地理位置优越，是长三角石化物流基地的重要国际港口口岸。华西码头仓储总容量达30万立方米，可接卸苯类、醇类、酸类等五十多种化工品。</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公司石化物流仓储业务主要为客户提供液态化工品的码头装卸、仓储、驳运中转、管道运输等服务。客户将其采购的化工品存储在公司的储罐中，公司为其提供仓储物流服务并收取服务费。</w:t>
      </w:r>
    </w:p>
    <w:p w:rsidR="004A3B7E" w:rsidRDefault="00452DEF">
      <w:pPr>
        <w:pStyle w:val="a3"/>
        <w:spacing w:before="40" w:beforeAutospacing="0" w:after="40" w:afterAutospacing="0" w:line="276" w:lineRule="auto"/>
        <w:ind w:firstLine="360"/>
        <w:jc w:val="both"/>
        <w:divId w:val="2043088763"/>
      </w:pPr>
      <w:r>
        <w:rPr>
          <w:rFonts w:hint="eastAsia"/>
          <w:sz w:val="18"/>
          <w:szCs w:val="18"/>
        </w:rPr>
        <w:t>（1）码头情况及罐区情况</w:t>
      </w:r>
    </w:p>
    <w:p w:rsidR="004A3B7E" w:rsidRDefault="00452DEF">
      <w:pPr>
        <w:pStyle w:val="a3"/>
        <w:spacing w:before="40" w:beforeAutospacing="0" w:after="40" w:afterAutospacing="0" w:line="276" w:lineRule="auto"/>
        <w:ind w:firstLine="360"/>
        <w:jc w:val="both"/>
        <w:divId w:val="2043088763"/>
      </w:pPr>
      <w:r>
        <w:rPr>
          <w:rFonts w:hint="eastAsia"/>
          <w:sz w:val="18"/>
          <w:szCs w:val="18"/>
        </w:rPr>
        <w:t>①码头情况</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华西码头自有一座5万吨级液体化工品专用码头。码头配有2个2万吨级外轮泊位（兼靠5万吨级），外档可停靠1条5万吨级外轮，或者同时停靠2个2万吨级外轮作业，另外拥有2个3,000吨级内轮泊位和2个500吨级内轮泊位。</w:t>
      </w:r>
    </w:p>
    <w:p w:rsidR="004A3B7E" w:rsidRDefault="00452DEF">
      <w:pPr>
        <w:pStyle w:val="a3"/>
        <w:spacing w:before="40" w:beforeAutospacing="0" w:after="40" w:afterAutospacing="0" w:line="276" w:lineRule="auto"/>
        <w:ind w:firstLine="360"/>
        <w:jc w:val="both"/>
        <w:divId w:val="2043088763"/>
      </w:pPr>
      <w:r>
        <w:rPr>
          <w:rFonts w:hint="eastAsia"/>
          <w:sz w:val="18"/>
          <w:szCs w:val="18"/>
        </w:rPr>
        <w:t>②罐区情况</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华西码头现有8个储罐区，共有储罐89个，其中保税区储罐有7个。报告期内，公司储罐数量和罐容未发生改变。目前储罐存储品种约30个，主要包括对二甲苯、苯乙烯、正丁醇、丙酮、苯酚等。</w:t>
      </w:r>
    </w:p>
    <w:p w:rsidR="004A3B7E" w:rsidRDefault="00452DEF">
      <w:pPr>
        <w:pStyle w:val="a3"/>
        <w:spacing w:before="40" w:beforeAutospacing="0" w:after="40" w:afterAutospacing="0" w:line="276" w:lineRule="auto"/>
        <w:ind w:firstLine="360"/>
        <w:jc w:val="both"/>
        <w:divId w:val="2043088763"/>
      </w:pPr>
      <w:r>
        <w:rPr>
          <w:rFonts w:hint="eastAsia"/>
          <w:sz w:val="18"/>
          <w:szCs w:val="18"/>
        </w:rPr>
        <w:t>（2）业务流程</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华西码头仓储业务分为装卸、仓储两部分，装卸业务指利用自有码头，为客户提供货物的装卸服务，收取装卸费；仓储业务指货物通过连接码头的专用管道输送至储罐，为客户提供货物仓储服务，收取仓储费。为使客户顺利办理通关手续，公司可为客户提供代办手续，同时收取一定的代理费。</w:t>
      </w:r>
    </w:p>
    <w:p w:rsidR="004A3B7E" w:rsidRDefault="00452DEF">
      <w:pPr>
        <w:pStyle w:val="a3"/>
        <w:spacing w:before="40" w:beforeAutospacing="0" w:after="40" w:afterAutospacing="0" w:line="276" w:lineRule="auto"/>
        <w:ind w:firstLine="360"/>
        <w:jc w:val="both"/>
        <w:divId w:val="2043088763"/>
      </w:pPr>
      <w:r>
        <w:rPr>
          <w:rFonts w:hint="eastAsia"/>
          <w:sz w:val="18"/>
          <w:szCs w:val="18"/>
        </w:rPr>
        <w:t>（3）定价模式和结算方式</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华西码头的定价模式：①向客户收取首期保底基本费用，该基本收费按照储存30天的标准计价；超过30天后的时间按日标准收取仓储费。②长期客户以年度为单位签订长期合同，每月收取固定仓储费用。华西码头根据对市场的敏锐把握，基于自身的行业优势地位，采取了对公司较为有利的定价模式。</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华西码头按月计算应收客户仓储服务费，客户最迟必须在提货前支付完毕所有的费用。华西码头回款情况良好，账期较短，盈利质量较高，确保了公司的稳健经营。</w:t>
      </w:r>
    </w:p>
    <w:p w:rsidR="004A3B7E" w:rsidRDefault="00452DEF">
      <w:pPr>
        <w:pStyle w:val="a3"/>
        <w:spacing w:before="40" w:beforeAutospacing="0" w:after="40" w:afterAutospacing="0" w:line="276" w:lineRule="auto"/>
        <w:ind w:firstLine="360"/>
        <w:jc w:val="both"/>
        <w:divId w:val="2043088763"/>
      </w:pPr>
      <w:r>
        <w:rPr>
          <w:rFonts w:hint="eastAsia"/>
          <w:sz w:val="18"/>
          <w:szCs w:val="18"/>
        </w:rPr>
        <w:t>（4）营销模式</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建立多渠道的市场信息网络，全面了解重点区域市场和客户情况、竞争对手的信息，采取多种手段推介公司信息，提高公司知名度和影响力。</w:t>
      </w:r>
    </w:p>
    <w:p w:rsidR="004A3B7E" w:rsidRDefault="00452DEF">
      <w:pPr>
        <w:pStyle w:val="a3"/>
        <w:spacing w:before="40" w:beforeAutospacing="0" w:after="40" w:afterAutospacing="0" w:line="276" w:lineRule="auto"/>
        <w:ind w:firstLine="360"/>
        <w:jc w:val="both"/>
        <w:divId w:val="2043088763"/>
      </w:pPr>
      <w:r>
        <w:rPr>
          <w:rFonts w:hint="eastAsia"/>
          <w:sz w:val="18"/>
          <w:szCs w:val="18"/>
        </w:rPr>
        <w:t>完善客户信息管理制度和售后服务，华西码头精耕市场，对客户群和市场进行了深入地细分。根据客户性质划分为不同销售类型，有的放矢地开发新客户。重视对老客户的维护工作，根据客户不同的需求，采取不同的销售策略和服务项目，以最大限度地满足客户需求。</w:t>
      </w:r>
    </w:p>
    <w:p w:rsidR="004A3B7E" w:rsidRDefault="00452DEF">
      <w:pPr>
        <w:pStyle w:val="a3"/>
        <w:spacing w:before="40" w:beforeAutospacing="0" w:after="40" w:afterAutospacing="0" w:line="276" w:lineRule="auto"/>
        <w:ind w:firstLine="360"/>
        <w:jc w:val="both"/>
        <w:divId w:val="2043088763"/>
      </w:pPr>
      <w:r>
        <w:rPr>
          <w:rStyle w:val="a4"/>
          <w:rFonts w:hint="eastAsia"/>
          <w:sz w:val="18"/>
          <w:szCs w:val="18"/>
        </w:rPr>
        <w:t> </w:t>
      </w:r>
    </w:p>
    <w:p w:rsidR="004A3B7E" w:rsidRDefault="00452DEF">
      <w:pPr>
        <w:pStyle w:val="a3"/>
        <w:spacing w:before="40" w:beforeAutospacing="0" w:after="40" w:afterAutospacing="0" w:line="276" w:lineRule="auto"/>
        <w:ind w:firstLine="360"/>
        <w:jc w:val="both"/>
        <w:divId w:val="2043088763"/>
      </w:pPr>
      <w:r>
        <w:rPr>
          <w:rStyle w:val="a4"/>
          <w:rFonts w:hint="eastAsia"/>
          <w:sz w:val="18"/>
          <w:szCs w:val="18"/>
        </w:rPr>
        <w:t>（二）所属行业的发展情况</w:t>
      </w:r>
    </w:p>
    <w:p w:rsidR="004A3B7E" w:rsidRDefault="00452DEF">
      <w:pPr>
        <w:pStyle w:val="a3"/>
        <w:spacing w:before="40" w:beforeAutospacing="0" w:after="40" w:afterAutospacing="0" w:line="276" w:lineRule="auto"/>
        <w:ind w:firstLine="360"/>
        <w:jc w:val="both"/>
        <w:divId w:val="2043088763"/>
      </w:pPr>
      <w:r>
        <w:rPr>
          <w:rFonts w:hint="eastAsia"/>
          <w:sz w:val="18"/>
          <w:szCs w:val="18"/>
        </w:rPr>
        <w:t>根据中国证监会发布的《上市公司行业分类指引</w:t>
      </w:r>
      <w:bookmarkStart w:id="15" w:name="_GoBack"/>
      <w:bookmarkEnd w:id="15"/>
      <w:r>
        <w:rPr>
          <w:rFonts w:hint="eastAsia"/>
          <w:sz w:val="18"/>
          <w:szCs w:val="18"/>
        </w:rPr>
        <w:t>》，公司的行业分类为化学纤维制造业。</w:t>
      </w:r>
    </w:p>
    <w:p w:rsidR="004A3B7E" w:rsidRDefault="00452DEF">
      <w:pPr>
        <w:pStyle w:val="a3"/>
        <w:spacing w:before="40" w:beforeAutospacing="0" w:after="40" w:afterAutospacing="0" w:line="276" w:lineRule="auto"/>
        <w:ind w:firstLine="360"/>
        <w:jc w:val="both"/>
        <w:divId w:val="2043088763"/>
      </w:pPr>
      <w:r>
        <w:rPr>
          <w:rFonts w:hint="eastAsia"/>
          <w:sz w:val="18"/>
          <w:szCs w:val="18"/>
        </w:rPr>
        <w:lastRenderedPageBreak/>
        <w:t>2025年上半年，受全球关税政策调整及地缘政治局势紧张影响，</w:t>
      </w:r>
      <w:r w:rsidR="00760AB6">
        <w:rPr>
          <w:rFonts w:hint="eastAsia"/>
          <w:sz w:val="18"/>
          <w:szCs w:val="18"/>
        </w:rPr>
        <w:t>化纤</w:t>
      </w:r>
      <w:r>
        <w:rPr>
          <w:rFonts w:hint="eastAsia"/>
          <w:sz w:val="18"/>
          <w:szCs w:val="18"/>
        </w:rPr>
        <w:t>产业链上</w:t>
      </w:r>
      <w:r w:rsidR="00760AB6">
        <w:rPr>
          <w:rFonts w:hint="eastAsia"/>
          <w:sz w:val="18"/>
          <w:szCs w:val="18"/>
        </w:rPr>
        <w:t>的</w:t>
      </w:r>
      <w:r>
        <w:rPr>
          <w:rFonts w:hint="eastAsia"/>
          <w:sz w:val="18"/>
          <w:szCs w:val="18"/>
        </w:rPr>
        <w:t>企业采取了主动性减产策略。后期关税政策缓解背景下，终端消费市场出现需求反弹，短纤产品需求增长。涤纶短纤维市场价格呈现先跌后涨走势，20</w:t>
      </w:r>
      <w:r w:rsidR="000653B1">
        <w:rPr>
          <w:rFonts w:hint="eastAsia"/>
          <w:sz w:val="18"/>
          <w:szCs w:val="18"/>
        </w:rPr>
        <w:t>2</w:t>
      </w:r>
      <w:r>
        <w:rPr>
          <w:rFonts w:hint="eastAsia"/>
          <w:sz w:val="18"/>
          <w:szCs w:val="18"/>
        </w:rPr>
        <w:t>5年1-6月现货加工费为1,058元/吨，同比上升29.66%，市场需求呈现“外销热于内销”的特征。（以上数据来源于隆众资讯）</w:t>
      </w:r>
    </w:p>
    <w:p w:rsidR="004A3B7E" w:rsidRDefault="00452DEF">
      <w:pPr>
        <w:pStyle w:val="a3"/>
        <w:spacing w:before="40" w:beforeAutospacing="0" w:after="40" w:afterAutospacing="0" w:line="276" w:lineRule="auto"/>
        <w:ind w:firstLine="360"/>
        <w:jc w:val="both"/>
        <w:divId w:val="2043088763"/>
      </w:pPr>
      <w:r>
        <w:rPr>
          <w:rFonts w:hint="eastAsia"/>
          <w:sz w:val="18"/>
          <w:szCs w:val="18"/>
        </w:rPr>
        <w:t>2025年下半年，从宏观层面来看，国内货币政策趋向宽松，全球多个发达经济体货币政策也或将放缓紧缩步伐，将在一定程度上降低企业的融资成本。随着全球经济的复苏以及国内经济的持续增长，未来几年服装、家纺、汽车内饰等下游行业对涤纶短纤维的需求有望迎来新一轮的增长，预计主要存在以下几个方面的支撑：1、我国作为全球最大的涤纶短纤维出口国，东南亚、中东、欧洲等国家和地区对我国涤纶短纤维的需求量仍有望维持在相对偏高水平；2、结合当前经济形势或政策信号，2025年下半年国内货币政策将延续“适度宽松”的基调，下游纱厂及终端企业的资金周转及流动性有望得到一定保障；3、消费与民生保障政策或延续，通过消费券、以旧换新补贴等财政货币协同政策，将继续推动家居、新能源汽车等大宗消费回升。</w:t>
      </w:r>
    </w:p>
    <w:p w:rsidR="004A3B7E" w:rsidRDefault="00452DEF">
      <w:pPr>
        <w:pStyle w:val="a3"/>
        <w:spacing w:before="0" w:beforeAutospacing="0" w:after="0" w:afterAutospacing="0" w:line="276" w:lineRule="auto"/>
        <w:ind w:firstLine="357"/>
        <w:divId w:val="2043088763"/>
      </w:pPr>
      <w:r>
        <w:rPr>
          <w:rStyle w:val="a4"/>
          <w:rFonts w:hint="eastAsia"/>
          <w:sz w:val="18"/>
          <w:szCs w:val="18"/>
        </w:rPr>
        <w:t> </w:t>
      </w:r>
    </w:p>
    <w:p w:rsidR="004A3B7E" w:rsidRDefault="00452DEF">
      <w:pPr>
        <w:pStyle w:val="a3"/>
        <w:spacing w:before="0" w:beforeAutospacing="0" w:after="0" w:afterAutospacing="0" w:line="276" w:lineRule="auto"/>
        <w:ind w:firstLine="357"/>
        <w:divId w:val="2043088763"/>
      </w:pPr>
      <w:r>
        <w:rPr>
          <w:rStyle w:val="a4"/>
          <w:rFonts w:hint="eastAsia"/>
          <w:sz w:val="18"/>
          <w:szCs w:val="18"/>
        </w:rPr>
        <w:t>（三）报告期主要经营情况</w:t>
      </w:r>
    </w:p>
    <w:p w:rsidR="004A3B7E" w:rsidRDefault="00452DEF" w:rsidP="00F8078C">
      <w:pPr>
        <w:pStyle w:val="a3"/>
        <w:spacing w:before="0" w:beforeAutospacing="0" w:after="0" w:afterAutospacing="0" w:line="276" w:lineRule="auto"/>
        <w:ind w:firstLine="357"/>
        <w:jc w:val="both"/>
        <w:divId w:val="2043088763"/>
        <w:rPr>
          <w:rFonts w:ascii="Calibri" w:hAnsi="Calibri" w:cs="Calibri"/>
          <w:sz w:val="21"/>
          <w:szCs w:val="21"/>
        </w:rPr>
      </w:pPr>
      <w:r>
        <w:rPr>
          <w:rFonts w:cs="Calibri" w:hint="eastAsia"/>
          <w:sz w:val="18"/>
          <w:szCs w:val="18"/>
        </w:rPr>
        <w:t>2025年半年度公司共实现营业收入163,682.78万元，较上年同期增加了5.28%；实现营业利润18,143.69万元，较上年同期增加了110.96%；实现归属于母公司股东的净利润16,601.14万元，较上年同期增加了109.15%；经营活动产生的现金流量净额为11,708.20万元，较上年同期增加了657.91%；每股收益0.19元，较上年同期增加了111.11%；实现加权平均净资产收益率3.15%，较上年同期增加了1.61个百分点。</w:t>
      </w:r>
    </w:p>
    <w:p w:rsidR="004A3B7E" w:rsidRDefault="00452DEF" w:rsidP="00612F73">
      <w:pPr>
        <w:pStyle w:val="a3"/>
        <w:spacing w:before="0" w:beforeAutospacing="0" w:after="0" w:afterAutospacing="0" w:line="276" w:lineRule="auto"/>
        <w:ind w:firstLine="357"/>
        <w:jc w:val="both"/>
        <w:divId w:val="2043088763"/>
        <w:rPr>
          <w:rFonts w:ascii="Calibri" w:hAnsi="Calibri" w:cs="Calibri"/>
          <w:sz w:val="21"/>
          <w:szCs w:val="21"/>
        </w:rPr>
      </w:pPr>
      <w:r>
        <w:rPr>
          <w:rFonts w:cs="Calibri" w:hint="eastAsia"/>
          <w:sz w:val="18"/>
          <w:szCs w:val="18"/>
        </w:rPr>
        <w:t>报告期内，公司第九届董事会第九次会议审议通过了《关于转让参股公司股份的议案》，公司控制主体上海启澜拟将其持有的索尔思光电 556.03万股股份以及通过Diamond Hill, L.P.持有的5,993.62万股股份转让给超毅集团（香港）有限公司，合计转让6,549.65万股索尔思光电股份，转让总价款为20,026.86万美元。本次转让完成后，上海启澜不再持有索尔思光电股份。2025年8月6日，公司2025年第一次临时股东会审议通过上述议案。截至目前，上述索尔思光电股份转让事项尚在进展过程中。</w:t>
      </w:r>
    </w:p>
    <w:p w:rsidR="004A3B7E" w:rsidRDefault="00452DEF" w:rsidP="00F8078C">
      <w:pPr>
        <w:pStyle w:val="a3"/>
        <w:spacing w:before="0" w:beforeAutospacing="0" w:after="0" w:afterAutospacing="0" w:line="276" w:lineRule="auto"/>
        <w:ind w:firstLine="361"/>
        <w:divId w:val="2043088763"/>
      </w:pPr>
      <w:r>
        <w:rPr>
          <w:rFonts w:hint="eastAsia"/>
          <w:sz w:val="18"/>
          <w:szCs w:val="18"/>
        </w:rPr>
        <w:t>具体业务板块的经营情况如下：</w:t>
      </w:r>
    </w:p>
    <w:p w:rsidR="004A3B7E" w:rsidRDefault="00452DEF" w:rsidP="00F8078C">
      <w:pPr>
        <w:pStyle w:val="a3"/>
        <w:spacing w:before="0" w:beforeAutospacing="0" w:after="0" w:afterAutospacing="0" w:line="276" w:lineRule="auto"/>
        <w:ind w:firstLine="361"/>
        <w:divId w:val="2043088763"/>
      </w:pPr>
      <w:r>
        <w:rPr>
          <w:rStyle w:val="a4"/>
          <w:rFonts w:hint="eastAsia"/>
          <w:sz w:val="18"/>
          <w:szCs w:val="18"/>
        </w:rPr>
        <w:t>1、涤纶化纤业务</w:t>
      </w:r>
    </w:p>
    <w:p w:rsidR="004A3B7E" w:rsidRDefault="00452DEF" w:rsidP="00F8078C">
      <w:pPr>
        <w:pStyle w:val="a3"/>
        <w:spacing w:before="40" w:beforeAutospacing="0" w:after="40" w:afterAutospacing="0" w:line="276" w:lineRule="auto"/>
        <w:ind w:firstLine="360"/>
        <w:jc w:val="both"/>
        <w:divId w:val="2043088763"/>
        <w:rPr>
          <w:rFonts w:ascii="Calibri" w:hAnsi="Calibri" w:cs="Calibri"/>
          <w:sz w:val="21"/>
          <w:szCs w:val="21"/>
        </w:rPr>
      </w:pPr>
      <w:r>
        <w:rPr>
          <w:rFonts w:cs="Calibri" w:hint="eastAsia"/>
          <w:sz w:val="18"/>
          <w:szCs w:val="18"/>
        </w:rPr>
        <w:t>报告期内，面对复杂多变的行业形势，公司通过加强产销协同、优化产品结构、强化技术改造及风险管理，有效化解各类经营风险，经营韧性和盈利能力持续增强。</w:t>
      </w:r>
    </w:p>
    <w:p w:rsidR="004A3B7E" w:rsidRDefault="00452DEF" w:rsidP="00F8078C">
      <w:pPr>
        <w:pStyle w:val="a3"/>
        <w:spacing w:before="40" w:beforeAutospacing="0" w:after="40" w:afterAutospacing="0" w:line="276" w:lineRule="auto"/>
        <w:ind w:firstLine="360"/>
        <w:jc w:val="both"/>
        <w:divId w:val="2043088763"/>
      </w:pPr>
      <w:r>
        <w:rPr>
          <w:rFonts w:hint="eastAsia"/>
          <w:sz w:val="18"/>
          <w:szCs w:val="18"/>
        </w:rPr>
        <w:t>（1）生产运营方面</w:t>
      </w:r>
    </w:p>
    <w:p w:rsidR="004A3B7E" w:rsidRDefault="00452DEF" w:rsidP="00F8078C">
      <w:pPr>
        <w:pStyle w:val="a3"/>
        <w:spacing w:before="40" w:beforeAutospacing="0" w:after="40" w:afterAutospacing="0" w:line="276" w:lineRule="auto"/>
        <w:ind w:firstLine="360"/>
        <w:jc w:val="both"/>
        <w:divId w:val="2043088763"/>
        <w:rPr>
          <w:sz w:val="18"/>
          <w:szCs w:val="18"/>
        </w:rPr>
      </w:pPr>
      <w:r>
        <w:rPr>
          <w:rFonts w:hint="eastAsia"/>
          <w:sz w:val="18"/>
          <w:szCs w:val="18"/>
        </w:rPr>
        <w:t>通过完善蒸汽闪蒸系统、结合电网峰谷电价调整储能系统运行策略、淘汰老旧空压机，采用新型节能设备等方式，有效降低了能源消耗及设备维护成本。持续推动绿色降本增效，通过优化袋包使用方法等，有效降低了人工成本，并减少了原料抛洒及环境污染问题，提升了整体运营效益。</w:t>
      </w:r>
    </w:p>
    <w:p w:rsidR="004A3B7E" w:rsidRDefault="00452DEF" w:rsidP="00F8078C">
      <w:pPr>
        <w:pStyle w:val="a3"/>
        <w:spacing w:before="40" w:beforeAutospacing="0" w:after="40" w:afterAutospacing="0" w:line="276" w:lineRule="auto"/>
        <w:ind w:firstLine="360"/>
        <w:jc w:val="both"/>
        <w:divId w:val="2043088763"/>
      </w:pPr>
      <w:r>
        <w:rPr>
          <w:rFonts w:hint="eastAsia"/>
          <w:sz w:val="18"/>
          <w:szCs w:val="18"/>
        </w:rPr>
        <w:t>（2）产品销售方面</w:t>
      </w:r>
    </w:p>
    <w:p w:rsidR="004A3B7E" w:rsidRPr="00E01201" w:rsidRDefault="00452DEF" w:rsidP="00F8078C">
      <w:pPr>
        <w:pStyle w:val="a3"/>
        <w:spacing w:before="40" w:beforeAutospacing="0" w:after="40" w:afterAutospacing="0" w:line="276" w:lineRule="auto"/>
        <w:ind w:firstLine="360"/>
        <w:jc w:val="both"/>
        <w:divId w:val="2043088763"/>
      </w:pPr>
      <w:r>
        <w:rPr>
          <w:rFonts w:hint="eastAsia"/>
          <w:sz w:val="18"/>
          <w:szCs w:val="18"/>
        </w:rPr>
        <w:t>持续推进产品差异化布局，进一步优化主要品种结构，特别是在涡流纺领域，抓住行业前沿趋势，涡流纺产品销量及占比均实现提升，客户依存度持续增强。同时依托水刺专用涤纶及有光涤纶多年积淀的品牌势能，稳占核心市场，并以超细、荧光增白等品种进一步夯实</w:t>
      </w:r>
      <w:r w:rsidRPr="00E01201">
        <w:rPr>
          <w:rFonts w:hint="eastAsia"/>
          <w:sz w:val="18"/>
          <w:szCs w:val="18"/>
        </w:rPr>
        <w:t>细分赛道领先优势。尽管受地缘政治冲突、国际贸易壁垒升级、全球供应链波动及美国关税政策反复带来的不确定性影响，公司上半年短纤</w:t>
      </w:r>
      <w:r w:rsidR="00B22C62">
        <w:rPr>
          <w:rFonts w:hint="eastAsia"/>
          <w:sz w:val="18"/>
          <w:szCs w:val="18"/>
        </w:rPr>
        <w:t>销售</w:t>
      </w:r>
      <w:r w:rsidR="001837AE">
        <w:rPr>
          <w:rFonts w:hint="eastAsia"/>
          <w:sz w:val="18"/>
          <w:szCs w:val="18"/>
        </w:rPr>
        <w:t>收入</w:t>
      </w:r>
      <w:r w:rsidR="00B22C62">
        <w:rPr>
          <w:rFonts w:hint="eastAsia"/>
          <w:sz w:val="18"/>
          <w:szCs w:val="18"/>
        </w:rPr>
        <w:t>仍较</w:t>
      </w:r>
      <w:r w:rsidRPr="00E01201">
        <w:rPr>
          <w:rFonts w:hint="eastAsia"/>
          <w:sz w:val="18"/>
          <w:szCs w:val="18"/>
        </w:rPr>
        <w:t>去年同期提升</w:t>
      </w:r>
      <w:r w:rsidR="001837AE">
        <w:rPr>
          <w:rFonts w:hint="eastAsia"/>
          <w:sz w:val="18"/>
          <w:szCs w:val="18"/>
        </w:rPr>
        <w:t>了30.19%</w:t>
      </w:r>
      <w:r w:rsidRPr="00E01201">
        <w:rPr>
          <w:rFonts w:hint="eastAsia"/>
          <w:sz w:val="18"/>
          <w:szCs w:val="18"/>
        </w:rPr>
        <w:t>，</w:t>
      </w:r>
      <w:r w:rsidR="001837AE">
        <w:rPr>
          <w:rFonts w:hint="eastAsia"/>
          <w:sz w:val="18"/>
          <w:szCs w:val="18"/>
        </w:rPr>
        <w:t>且</w:t>
      </w:r>
      <w:r w:rsidRPr="00E01201">
        <w:rPr>
          <w:rFonts w:hint="eastAsia"/>
          <w:sz w:val="18"/>
          <w:szCs w:val="18"/>
        </w:rPr>
        <w:t>盈利能力增强。</w:t>
      </w:r>
    </w:p>
    <w:p w:rsidR="004A3B7E" w:rsidRDefault="00452DEF" w:rsidP="00F8078C">
      <w:pPr>
        <w:pStyle w:val="a3"/>
        <w:spacing w:before="40" w:beforeAutospacing="0" w:after="40" w:afterAutospacing="0" w:line="276" w:lineRule="auto"/>
        <w:ind w:firstLine="360"/>
        <w:jc w:val="both"/>
        <w:divId w:val="2043088763"/>
      </w:pPr>
      <w:r>
        <w:rPr>
          <w:rFonts w:hint="eastAsia"/>
          <w:sz w:val="18"/>
          <w:szCs w:val="18"/>
        </w:rPr>
        <w:t>（3）产品创新方面</w:t>
      </w:r>
    </w:p>
    <w:p w:rsidR="004A3B7E" w:rsidRDefault="00452DEF" w:rsidP="00F8078C">
      <w:pPr>
        <w:pStyle w:val="a3"/>
        <w:spacing w:before="40" w:beforeAutospacing="0" w:after="40" w:afterAutospacing="0" w:line="276" w:lineRule="auto"/>
        <w:ind w:firstLine="360"/>
        <w:jc w:val="both"/>
        <w:divId w:val="2043088763"/>
      </w:pPr>
      <w:r>
        <w:rPr>
          <w:rFonts w:hint="eastAsia"/>
          <w:sz w:val="18"/>
          <w:szCs w:val="18"/>
        </w:rPr>
        <w:t>加快技术改造，提升涡流纺专用涤纶短纤维产能，与村田、竹本及下游纺纱企业开展合作，开发户外运动服饰专用涤纶短纤维新品种，同时丰富水刺产品规格，拓展应用领域，提升市场竞争力。</w:t>
      </w:r>
    </w:p>
    <w:p w:rsidR="004A3B7E" w:rsidRDefault="00452DEF" w:rsidP="00F8078C">
      <w:pPr>
        <w:pStyle w:val="a3"/>
        <w:spacing w:before="0" w:beforeAutospacing="0" w:after="0" w:afterAutospacing="0" w:line="276" w:lineRule="auto"/>
        <w:ind w:firstLine="360"/>
        <w:divId w:val="2043088763"/>
      </w:pPr>
      <w:r>
        <w:rPr>
          <w:rFonts w:hint="eastAsia"/>
          <w:sz w:val="18"/>
          <w:szCs w:val="18"/>
        </w:rPr>
        <w:lastRenderedPageBreak/>
        <w:t xml:space="preserve">2025年1-6月，涤纶短纤维产品实现销售收入155,440.29万元，较上年同期增加了30.19%，实现毛利7,542.91万元，较上年同期增加了617.12%，涤纶短纤维毛利率为4.85%，较上年同期增加了3.97个百分点。 </w:t>
      </w:r>
    </w:p>
    <w:p w:rsidR="004A3B7E" w:rsidRDefault="00452DEF" w:rsidP="00F8078C">
      <w:pPr>
        <w:pStyle w:val="a3"/>
        <w:spacing w:before="0" w:beforeAutospacing="0" w:after="0" w:afterAutospacing="0" w:line="276" w:lineRule="auto"/>
        <w:ind w:firstLine="357"/>
        <w:divId w:val="2043088763"/>
      </w:pPr>
      <w:r>
        <w:rPr>
          <w:rStyle w:val="a4"/>
          <w:rFonts w:hint="eastAsia"/>
          <w:sz w:val="18"/>
          <w:szCs w:val="18"/>
        </w:rPr>
        <w:t> </w:t>
      </w:r>
    </w:p>
    <w:p w:rsidR="004A3B7E" w:rsidRDefault="00452DEF" w:rsidP="00F8078C">
      <w:pPr>
        <w:pStyle w:val="a3"/>
        <w:spacing w:before="0" w:beforeAutospacing="0" w:after="0" w:afterAutospacing="0" w:line="276" w:lineRule="auto"/>
        <w:ind w:firstLine="357"/>
        <w:divId w:val="2043088763"/>
      </w:pPr>
      <w:r>
        <w:rPr>
          <w:rStyle w:val="a4"/>
          <w:rFonts w:hint="eastAsia"/>
          <w:sz w:val="18"/>
          <w:szCs w:val="18"/>
        </w:rPr>
        <w:t>2、石化仓储业务</w:t>
      </w:r>
    </w:p>
    <w:p w:rsidR="004A3B7E" w:rsidRPr="00E01201" w:rsidRDefault="00C70D46" w:rsidP="00C70D46">
      <w:pPr>
        <w:pStyle w:val="a3"/>
        <w:spacing w:before="40" w:beforeAutospacing="0" w:after="40" w:afterAutospacing="0" w:line="276" w:lineRule="auto"/>
        <w:ind w:firstLine="360"/>
        <w:jc w:val="both"/>
        <w:divId w:val="2043088763"/>
        <w:rPr>
          <w:sz w:val="18"/>
          <w:szCs w:val="18"/>
        </w:rPr>
      </w:pPr>
      <w:bookmarkStart w:id="16" w:name="OLE_LINK12"/>
      <w:bookmarkStart w:id="17" w:name="OLE_LINK13"/>
      <w:bookmarkStart w:id="18" w:name="OLE_LINK14"/>
      <w:r w:rsidRPr="00E01201">
        <w:rPr>
          <w:rFonts w:hint="eastAsia"/>
          <w:sz w:val="18"/>
          <w:szCs w:val="18"/>
        </w:rPr>
        <w:t>报告期内</w:t>
      </w:r>
      <w:r w:rsidR="00452DEF" w:rsidRPr="00E01201">
        <w:rPr>
          <w:rFonts w:hint="eastAsia"/>
          <w:sz w:val="18"/>
          <w:szCs w:val="18"/>
        </w:rPr>
        <w:t>，</w:t>
      </w:r>
      <w:r w:rsidRPr="00E01201">
        <w:rPr>
          <w:rFonts w:hint="eastAsia"/>
          <w:sz w:val="18"/>
          <w:szCs w:val="18"/>
        </w:rPr>
        <w:t>受关税贸易战</w:t>
      </w:r>
      <w:r w:rsidR="003D0D96" w:rsidRPr="00E01201">
        <w:rPr>
          <w:rFonts w:hint="eastAsia"/>
          <w:sz w:val="18"/>
          <w:szCs w:val="18"/>
        </w:rPr>
        <w:t>等</w:t>
      </w:r>
      <w:r w:rsidRPr="00E01201">
        <w:rPr>
          <w:rFonts w:hint="eastAsia"/>
          <w:sz w:val="18"/>
          <w:szCs w:val="18"/>
        </w:rPr>
        <w:t>的影响，液化品仓储行业供大于求，出租率</w:t>
      </w:r>
      <w:r w:rsidR="003D0D96" w:rsidRPr="00E01201">
        <w:rPr>
          <w:rFonts w:hint="eastAsia"/>
          <w:sz w:val="18"/>
          <w:szCs w:val="18"/>
        </w:rPr>
        <w:t>和</w:t>
      </w:r>
      <w:r w:rsidRPr="00E01201">
        <w:rPr>
          <w:rFonts w:hint="eastAsia"/>
          <w:sz w:val="18"/>
          <w:szCs w:val="18"/>
        </w:rPr>
        <w:t>仓储价格下降趋势明显。</w:t>
      </w:r>
      <w:r w:rsidR="00AB658F" w:rsidRPr="00E01201">
        <w:rPr>
          <w:rFonts w:hint="eastAsia"/>
          <w:sz w:val="18"/>
          <w:szCs w:val="18"/>
        </w:rPr>
        <w:t>面对复杂多变的市场环境，</w:t>
      </w:r>
      <w:r w:rsidRPr="00E01201">
        <w:rPr>
          <w:rFonts w:hint="eastAsia"/>
          <w:sz w:val="18"/>
          <w:szCs w:val="18"/>
        </w:rPr>
        <w:t>华西码头</w:t>
      </w:r>
      <w:r w:rsidR="00AB658F" w:rsidRPr="00E01201">
        <w:rPr>
          <w:rFonts w:hint="eastAsia"/>
          <w:sz w:val="18"/>
          <w:szCs w:val="18"/>
        </w:rPr>
        <w:t>通过</w:t>
      </w:r>
      <w:r w:rsidRPr="00E01201">
        <w:rPr>
          <w:rFonts w:hint="eastAsia"/>
          <w:sz w:val="18"/>
          <w:szCs w:val="18"/>
        </w:rPr>
        <w:t>拓展</w:t>
      </w:r>
      <w:r w:rsidR="00AB658F" w:rsidRPr="00E01201">
        <w:rPr>
          <w:rFonts w:hint="eastAsia"/>
          <w:sz w:val="18"/>
          <w:szCs w:val="18"/>
        </w:rPr>
        <w:t>供应链</w:t>
      </w:r>
      <w:r w:rsidRPr="00E01201">
        <w:rPr>
          <w:rFonts w:hint="eastAsia"/>
          <w:sz w:val="18"/>
          <w:szCs w:val="18"/>
        </w:rPr>
        <w:t>延伸服务，</w:t>
      </w:r>
      <w:bookmarkStart w:id="19" w:name="OLE_LINK15"/>
      <w:r w:rsidRPr="00E01201">
        <w:rPr>
          <w:rFonts w:hint="eastAsia"/>
          <w:sz w:val="18"/>
          <w:szCs w:val="18"/>
        </w:rPr>
        <w:t>加大市场</w:t>
      </w:r>
      <w:r w:rsidR="00AB658F" w:rsidRPr="00E01201">
        <w:rPr>
          <w:rFonts w:hint="eastAsia"/>
          <w:sz w:val="18"/>
          <w:szCs w:val="18"/>
        </w:rPr>
        <w:t>开拓</w:t>
      </w:r>
      <w:r w:rsidRPr="00E01201">
        <w:rPr>
          <w:rFonts w:hint="eastAsia"/>
          <w:sz w:val="18"/>
          <w:szCs w:val="18"/>
        </w:rPr>
        <w:t>力度</w:t>
      </w:r>
      <w:bookmarkEnd w:id="19"/>
      <w:r w:rsidRPr="00E01201">
        <w:rPr>
          <w:rFonts w:hint="eastAsia"/>
          <w:sz w:val="18"/>
          <w:szCs w:val="18"/>
        </w:rPr>
        <w:t>，</w:t>
      </w:r>
      <w:r w:rsidR="00AB658F" w:rsidRPr="00E01201">
        <w:rPr>
          <w:rFonts w:hint="eastAsia"/>
          <w:sz w:val="18"/>
          <w:szCs w:val="18"/>
        </w:rPr>
        <w:t>强化内部管理等</w:t>
      </w:r>
      <w:r w:rsidRPr="00E01201">
        <w:rPr>
          <w:rFonts w:hint="eastAsia"/>
          <w:sz w:val="18"/>
          <w:szCs w:val="18"/>
        </w:rPr>
        <w:t>确保</w:t>
      </w:r>
      <w:r w:rsidR="00AB658F" w:rsidRPr="00E01201">
        <w:rPr>
          <w:rFonts w:hint="eastAsia"/>
          <w:sz w:val="18"/>
          <w:szCs w:val="18"/>
        </w:rPr>
        <w:t>了</w:t>
      </w:r>
      <w:r w:rsidRPr="00E01201">
        <w:rPr>
          <w:rFonts w:hint="eastAsia"/>
          <w:sz w:val="18"/>
          <w:szCs w:val="18"/>
        </w:rPr>
        <w:t>公司的平稳发展。</w:t>
      </w:r>
      <w:r w:rsidR="00452DEF" w:rsidRPr="00E01201">
        <w:rPr>
          <w:rFonts w:hint="eastAsia"/>
          <w:sz w:val="18"/>
          <w:szCs w:val="18"/>
        </w:rPr>
        <w:t>主要开展工作如下：</w:t>
      </w:r>
    </w:p>
    <w:bookmarkEnd w:id="16"/>
    <w:bookmarkEnd w:id="17"/>
    <w:bookmarkEnd w:id="18"/>
    <w:p w:rsidR="004A3B7E" w:rsidRPr="00E01201" w:rsidRDefault="00452DEF" w:rsidP="00F8078C">
      <w:pPr>
        <w:pStyle w:val="a3"/>
        <w:spacing w:before="40" w:beforeAutospacing="0" w:after="40" w:afterAutospacing="0" w:line="276" w:lineRule="auto"/>
        <w:ind w:firstLine="360"/>
        <w:jc w:val="both"/>
        <w:divId w:val="2043088763"/>
      </w:pPr>
      <w:r w:rsidRPr="00E01201">
        <w:rPr>
          <w:rFonts w:hint="eastAsia"/>
          <w:sz w:val="18"/>
          <w:szCs w:val="18"/>
        </w:rPr>
        <w:t>（1）流程优化与设备升级</w:t>
      </w:r>
    </w:p>
    <w:p w:rsidR="004A3B7E" w:rsidRDefault="00452DEF" w:rsidP="00F8078C">
      <w:pPr>
        <w:pStyle w:val="a3"/>
        <w:spacing w:before="40" w:beforeAutospacing="0" w:after="40" w:afterAutospacing="0" w:line="276" w:lineRule="auto"/>
        <w:ind w:firstLine="360"/>
        <w:jc w:val="both"/>
        <w:divId w:val="2043088763"/>
      </w:pPr>
      <w:r>
        <w:rPr>
          <w:rFonts w:hint="eastAsia"/>
          <w:sz w:val="18"/>
          <w:szCs w:val="18"/>
        </w:rPr>
        <w:t>通过不断引入智能化装卸系统，进一步优化了作业流程，船舶平均周转效率得到进一步提升。升级改造安全保障设施，进一步消除安全隐患，为业务开展提供了坚实的安全保障。安全是石化仓储业务的重中之重，完善的安全设施有助于提升客户的信任度和满意度。</w:t>
      </w:r>
    </w:p>
    <w:p w:rsidR="004A3B7E" w:rsidRDefault="00452DEF" w:rsidP="00F8078C">
      <w:pPr>
        <w:pStyle w:val="a3"/>
        <w:spacing w:before="40" w:beforeAutospacing="0" w:after="40" w:afterAutospacing="0" w:line="276" w:lineRule="auto"/>
        <w:ind w:firstLine="360"/>
        <w:jc w:val="both"/>
        <w:divId w:val="2043088763"/>
      </w:pPr>
      <w:r>
        <w:rPr>
          <w:rFonts w:hint="eastAsia"/>
          <w:sz w:val="18"/>
          <w:szCs w:val="18"/>
        </w:rPr>
        <w:t>（2）团队专业化建设</w:t>
      </w:r>
    </w:p>
    <w:p w:rsidR="004A3B7E" w:rsidRDefault="00452DEF" w:rsidP="00F8078C">
      <w:pPr>
        <w:pStyle w:val="a3"/>
        <w:spacing w:before="40" w:beforeAutospacing="0" w:after="40" w:afterAutospacing="0" w:line="276" w:lineRule="auto"/>
        <w:ind w:firstLine="360"/>
        <w:jc w:val="both"/>
        <w:divId w:val="2043088763"/>
      </w:pPr>
      <w:r>
        <w:rPr>
          <w:rFonts w:hint="eastAsia"/>
          <w:sz w:val="18"/>
          <w:szCs w:val="18"/>
        </w:rPr>
        <w:t xml:space="preserve">通过开展内部安全知识竞赛、职工技能比武、外出参加技能大赛、全员岗位技能认证等一系列活动，不断提升员工专业素养。目前，装卸管理人员持证率达80%，报告期内操作实现“零事故”，团队专业能力和安全管理水平不断提升。  </w:t>
      </w:r>
    </w:p>
    <w:p w:rsidR="004A3B7E" w:rsidRDefault="00452DEF" w:rsidP="00F8078C">
      <w:pPr>
        <w:pStyle w:val="a3"/>
        <w:spacing w:before="40" w:beforeAutospacing="0" w:after="40" w:afterAutospacing="0" w:line="276" w:lineRule="auto"/>
        <w:ind w:firstLine="360"/>
        <w:jc w:val="both"/>
        <w:divId w:val="2043088763"/>
      </w:pPr>
      <w:r>
        <w:rPr>
          <w:rFonts w:hint="eastAsia"/>
          <w:sz w:val="18"/>
          <w:szCs w:val="18"/>
        </w:rPr>
        <w:t>（3）深耕核心客户、大客户</w:t>
      </w:r>
    </w:p>
    <w:p w:rsidR="004A3B7E" w:rsidRDefault="00452DEF" w:rsidP="00F8078C">
      <w:pPr>
        <w:pStyle w:val="a3"/>
        <w:spacing w:before="40" w:beforeAutospacing="0" w:after="40" w:afterAutospacing="0" w:line="276" w:lineRule="auto"/>
        <w:ind w:firstLine="360"/>
        <w:jc w:val="both"/>
        <w:divId w:val="2043088763"/>
      </w:pPr>
      <w:r>
        <w:rPr>
          <w:rFonts w:hint="eastAsia"/>
          <w:sz w:val="18"/>
          <w:szCs w:val="18"/>
        </w:rPr>
        <w:t>通过开展“臻品服务”等系列活动，坚持稳定核心客户、大客户的经营思路，进一步巩固了与核心客户、大客户的战略合作。目前，华西码头与客户签订的仓储协议中长期协议占比达35%，长期协议的签订为码头带来了稳定的业务量和收入，降低了市场波动对业务的影响。</w:t>
      </w:r>
    </w:p>
    <w:p w:rsidR="004A3B7E" w:rsidRDefault="00452DEF" w:rsidP="00F8078C">
      <w:pPr>
        <w:pStyle w:val="a3"/>
        <w:spacing w:before="40" w:beforeAutospacing="0" w:after="40" w:afterAutospacing="0" w:line="276" w:lineRule="auto"/>
        <w:ind w:firstLine="360"/>
        <w:jc w:val="both"/>
        <w:divId w:val="2043088763"/>
      </w:pPr>
      <w:r>
        <w:rPr>
          <w:rFonts w:hint="eastAsia"/>
          <w:sz w:val="18"/>
          <w:szCs w:val="18"/>
        </w:rPr>
        <w:t>2025年1-6月，华西码头实现营业收入9,584.52万元，同比减少了23.67%；实现净利润2,956.44万元，同比减少了39.62%。</w:t>
      </w:r>
    </w:p>
    <w:p w:rsidR="00BD1BB9" w:rsidRDefault="00452DEF">
      <w:pPr>
        <w:pStyle w:val="2"/>
        <w:spacing w:before="300" w:after="300" w:line="320" w:lineRule="exact"/>
        <w:rPr>
          <w:rFonts w:ascii="宋体" w:eastAsia="宋体" w:hAnsi="宋体" w:cs="宋体"/>
          <w:b/>
          <w:bCs/>
          <w:sz w:val="24"/>
          <w:szCs w:val="24"/>
        </w:rPr>
      </w:pPr>
      <w:bookmarkStart w:id="20" w:name="_Toc988904"/>
      <w:r>
        <w:rPr>
          <w:rFonts w:ascii="宋体" w:eastAsia="宋体" w:hAnsi="宋体" w:cs="宋体"/>
          <w:b/>
          <w:bCs/>
          <w:sz w:val="24"/>
          <w:szCs w:val="24"/>
        </w:rPr>
        <w:t>二、核心竞争力分析</w:t>
      </w:r>
      <w:bookmarkEnd w:id="20"/>
    </w:p>
    <w:p w:rsidR="004A3B7E" w:rsidRDefault="00452DEF">
      <w:pPr>
        <w:pStyle w:val="a3"/>
        <w:spacing w:before="0" w:beforeAutospacing="0" w:after="0" w:afterAutospacing="0" w:line="276" w:lineRule="auto"/>
        <w:ind w:firstLine="360"/>
        <w:jc w:val="both"/>
        <w:divId w:val="2004039483"/>
      </w:pPr>
      <w:r>
        <w:rPr>
          <w:rFonts w:hint="eastAsia"/>
          <w:sz w:val="18"/>
          <w:szCs w:val="18"/>
        </w:rPr>
        <w:t>公司的核心竞争力主要体现在：</w:t>
      </w:r>
    </w:p>
    <w:p w:rsidR="004A3B7E" w:rsidRDefault="00452DEF">
      <w:pPr>
        <w:pStyle w:val="a3"/>
        <w:spacing w:before="0" w:beforeAutospacing="0" w:after="0" w:afterAutospacing="0" w:line="276" w:lineRule="auto"/>
        <w:ind w:firstLine="360"/>
        <w:jc w:val="both"/>
        <w:divId w:val="2004039483"/>
      </w:pPr>
      <w:r>
        <w:rPr>
          <w:rFonts w:hint="eastAsia"/>
          <w:sz w:val="18"/>
          <w:szCs w:val="18"/>
        </w:rPr>
        <w:t>1、品牌优势</w:t>
      </w:r>
    </w:p>
    <w:p w:rsidR="004A3B7E" w:rsidRDefault="00452DEF">
      <w:pPr>
        <w:pStyle w:val="a3"/>
        <w:spacing w:before="0" w:beforeAutospacing="0" w:after="0" w:afterAutospacing="0" w:line="276" w:lineRule="auto"/>
        <w:ind w:firstLine="360"/>
        <w:jc w:val="both"/>
        <w:divId w:val="2004039483"/>
      </w:pPr>
      <w:r>
        <w:rPr>
          <w:rFonts w:hint="eastAsia"/>
          <w:sz w:val="18"/>
          <w:szCs w:val="18"/>
        </w:rPr>
        <w:t>经过多年的经营发展，“华西村”品牌已树立了诚信品牌形象，这种品牌优势使得公司在涤纶短纤维市场拥有了一大批长期客户，保证了市场的稳定性，同时在产品价格上也形成了一定的优势。</w:t>
      </w:r>
    </w:p>
    <w:p w:rsidR="004A3B7E" w:rsidRDefault="00452DEF">
      <w:pPr>
        <w:pStyle w:val="a3"/>
        <w:spacing w:before="0" w:beforeAutospacing="0" w:after="0" w:afterAutospacing="0" w:line="276" w:lineRule="auto"/>
        <w:ind w:firstLine="360"/>
        <w:jc w:val="both"/>
        <w:divId w:val="2004039483"/>
      </w:pPr>
      <w:r>
        <w:rPr>
          <w:rFonts w:hint="eastAsia"/>
          <w:sz w:val="18"/>
          <w:szCs w:val="18"/>
        </w:rPr>
        <w:t>2、技术优势</w:t>
      </w:r>
    </w:p>
    <w:p w:rsidR="004A3B7E" w:rsidRDefault="00452DEF">
      <w:pPr>
        <w:pStyle w:val="a3"/>
        <w:spacing w:before="0" w:beforeAutospacing="0" w:after="0" w:afterAutospacing="0" w:line="276" w:lineRule="auto"/>
        <w:ind w:firstLine="360"/>
        <w:jc w:val="both"/>
        <w:divId w:val="2004039483"/>
      </w:pPr>
      <w:r>
        <w:rPr>
          <w:rFonts w:hint="eastAsia"/>
          <w:sz w:val="18"/>
          <w:szCs w:val="18"/>
        </w:rPr>
        <w:t>公司拥有稳定专业的研发团队，拥有省级企业技术中心，博士后创新实践基地，拥有多项自主知识产权。近年来与高校和科研院所开展产学研合作更加密切，并重视与下游企业特别是与品牌企业的联合开发，协同创新能力不断增强。截至报告期末，公司已拥有专利82项，其中发明专利14项，实用新型专利68项。</w:t>
      </w:r>
    </w:p>
    <w:p w:rsidR="004A3B7E" w:rsidRDefault="00452DEF">
      <w:pPr>
        <w:pStyle w:val="a3"/>
        <w:spacing w:before="0" w:beforeAutospacing="0" w:after="0" w:afterAutospacing="0" w:line="276" w:lineRule="auto"/>
        <w:ind w:firstLine="360"/>
        <w:jc w:val="both"/>
        <w:divId w:val="2004039483"/>
      </w:pPr>
      <w:r>
        <w:rPr>
          <w:rFonts w:hint="eastAsia"/>
          <w:sz w:val="18"/>
          <w:szCs w:val="18"/>
        </w:rPr>
        <w:t>3、产品优势</w:t>
      </w:r>
    </w:p>
    <w:p w:rsidR="004A3B7E" w:rsidRDefault="00452DEF">
      <w:pPr>
        <w:pStyle w:val="a3"/>
        <w:spacing w:before="0" w:beforeAutospacing="0" w:after="0" w:afterAutospacing="0" w:line="276" w:lineRule="auto"/>
        <w:ind w:firstLine="360"/>
        <w:jc w:val="both"/>
        <w:divId w:val="2004039483"/>
      </w:pPr>
      <w:r>
        <w:rPr>
          <w:rFonts w:hint="eastAsia"/>
          <w:sz w:val="18"/>
          <w:szCs w:val="18"/>
        </w:rPr>
        <w:t>公司利用自身的设备优势和人才优势，成功地开发了市场高端的差别化产品，提高了产品的附加值。这些差别化产品在市场上具有很高的竞争力，使得公司在差别化纤维领域处于领先地位，并在一些差别化产品上拥有了定价权，提高了企业的效益。</w:t>
      </w:r>
    </w:p>
    <w:p w:rsidR="00BD1BB9" w:rsidRDefault="00452DEF">
      <w:pPr>
        <w:pStyle w:val="2"/>
        <w:spacing w:before="300" w:after="300" w:line="320" w:lineRule="exact"/>
        <w:rPr>
          <w:rFonts w:ascii="宋体" w:eastAsia="宋体" w:hAnsi="宋体" w:cs="宋体"/>
          <w:b/>
          <w:bCs/>
          <w:sz w:val="24"/>
          <w:szCs w:val="24"/>
        </w:rPr>
      </w:pPr>
      <w:bookmarkStart w:id="21" w:name="_Toc988905"/>
      <w:r>
        <w:rPr>
          <w:rFonts w:ascii="宋体" w:eastAsia="宋体" w:hAnsi="宋体" w:cs="宋体"/>
          <w:b/>
          <w:bCs/>
          <w:sz w:val="24"/>
          <w:szCs w:val="24"/>
        </w:rPr>
        <w:lastRenderedPageBreak/>
        <w:t>三、主营业务分析</w:t>
      </w:r>
      <w:bookmarkEnd w:id="21"/>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概述</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参见“一、报告期内公司从事的主要业务”相关内容。</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主要财务数据同比变动情况</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129"/>
        <w:gridCol w:w="2727"/>
      </w:tblGrid>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12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c>
          <w:tcPr>
            <w:tcW w:w="27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变动原因</w:t>
            </w: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1,636,827,797.80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5.28%</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营业成本</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1,514,716,683.09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1,472,427,840.18</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2.87%</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3,028,654.95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4,188,700.76</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-27.69%</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30,716,203.70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26,346,388.17</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16.59%</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13,113,206.02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11,677,292.49</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12.30%</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15,420,598.90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6,553,725.72</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135.30%</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主要原因是本期利润总额比上年同期增加。</w:t>
            </w: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5935B9">
            <w:pPr>
              <w:spacing w:before="40" w:after="40" w:line="240" w:lineRule="exact"/>
              <w:rPr>
                <w:rFonts w:ascii="宋体" w:eastAsia="宋体" w:hAnsi="宋体" w:cs="宋体"/>
                <w:sz w:val="18"/>
                <w:szCs w:val="18"/>
              </w:rPr>
            </w:pPr>
            <w:r>
              <w:rPr>
                <w:rFonts w:ascii="宋体" w:eastAsia="宋体" w:hAnsi="宋体" w:cs="宋体"/>
                <w:sz w:val="18"/>
                <w:szCs w:val="18"/>
              </w:rPr>
              <w:t>研发费用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4,648,731.14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4,542,941.96</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2.33%</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BD1BB9" w:rsidP="00F8078C">
            <w:pPr>
              <w:spacing w:line="240" w:lineRule="exact"/>
              <w:jc w:val="both"/>
              <w:rPr>
                <w:rFonts w:ascii="宋体" w:eastAsia="宋体" w:hAnsi="宋体" w:cs="宋体"/>
                <w:sz w:val="18"/>
                <w:szCs w:val="18"/>
              </w:rPr>
            </w:pP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117,082,032.66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15,448,105.88</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657.91%</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主要原因是本期销售商品收到的现金比上年同期增加16,220.40万元，而本期采购商品、接受劳务支付的现金比上年同期增加3,601.74万元,相应产生了12,618.66万元的现金流入。</w:t>
            </w: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-12,629,410.52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-191,828,582.59</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93.42%</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主要原因是本期投资支付的现金比上年同期减少。</w:t>
            </w: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-30,717,269.46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-390,335.44</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-7,769.45%</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主要原因是本期分配股利、利润或偿付利息支付的现金比上年同期增加。</w:t>
            </w: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现金及现金等价物净增加额</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75,034,660.15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-172,380,911.73</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143.53%</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主要原因是本期经营活动、投资活动产生的现金流量净额比上年同期增加。</w:t>
            </w: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税金及附加</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6,070,106.58</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3,979,908.54</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52.52%</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主要原因是本期出口抵减内销产品应纳税额增加影响缴纳的城市维护建设税及教育费附加增加。</w:t>
            </w: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其他收益</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329,564.18</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489,971.06</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-32.74%</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主要原因是本期政府补助比上年同期减少。</w:t>
            </w: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投资收益</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119,239,861.80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66,447,289.68</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79.45%</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主要原因是本期权益法核算的长期股权投资收益比上年同期增加。</w:t>
            </w: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公允价值变动收益</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814945">
            <w:pPr>
              <w:spacing w:line="240" w:lineRule="exact"/>
              <w:jc w:val="right"/>
              <w:rPr>
                <w:rFonts w:ascii="宋体" w:eastAsia="宋体" w:hAnsi="宋体" w:cs="宋体"/>
                <w:sz w:val="18"/>
                <w:szCs w:val="18"/>
              </w:rPr>
            </w:pPr>
            <w:r w:rsidRPr="00814945">
              <w:rPr>
                <w:rFonts w:ascii="宋体" w:eastAsia="宋体" w:hAnsi="宋体" w:cs="宋体" w:hint="eastAsia"/>
                <w:sz w:val="18"/>
                <w:szCs w:val="18"/>
              </w:rPr>
              <w:t>3,007,015.39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-6,155,311.91</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bookmarkStart w:id="22" w:name="OLE_LINK11"/>
            <w:r>
              <w:rPr>
                <w:rFonts w:ascii="宋体" w:eastAsia="宋体" w:hAnsi="宋体" w:cs="宋体"/>
                <w:sz w:val="18"/>
                <w:szCs w:val="18"/>
              </w:rPr>
              <w:t>148.85%</w:t>
            </w:r>
            <w:bookmarkEnd w:id="22"/>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主要原因是本期持有的金融资产产生的公允价值变动收益比上年同期增加。</w:t>
            </w:r>
          </w:p>
        </w:tc>
      </w:tr>
      <w:tr w:rsidR="00BD1BB9" w:rsidTr="002E50D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归属于母公司股东的净利润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166,011,420.16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79,374,719.64</w:t>
            </w:r>
          </w:p>
        </w:tc>
        <w:tc>
          <w:tcPr>
            <w:tcW w:w="112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109.15%</w:t>
            </w:r>
          </w:p>
        </w:tc>
        <w:tc>
          <w:tcPr>
            <w:tcW w:w="2727"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主要原因是：①本期权益法核算的长期股权投资收益同比增加；②主营化纤</w:t>
            </w:r>
            <w:r w:rsidR="005935B9">
              <w:rPr>
                <w:rFonts w:ascii="宋体" w:eastAsia="宋体" w:hAnsi="宋体" w:cs="宋体"/>
                <w:sz w:val="18"/>
                <w:szCs w:val="18"/>
              </w:rPr>
              <w:t>产品</w:t>
            </w:r>
            <w:r>
              <w:rPr>
                <w:rFonts w:ascii="宋体" w:eastAsia="宋体" w:hAnsi="宋体" w:cs="宋体"/>
                <w:sz w:val="18"/>
                <w:szCs w:val="18"/>
              </w:rPr>
              <w:t>毛利同比增加。</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公司报告期利润构成或利润来源发生重大变动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公司报告期利润构成或利润来源没有发生重大变动。</w:t>
      </w:r>
    </w:p>
    <w:p w:rsidR="002E50D3" w:rsidRDefault="002E50D3">
      <w:pPr>
        <w:spacing w:before="100" w:after="100" w:line="240" w:lineRule="exact"/>
        <w:rPr>
          <w:rFonts w:ascii="宋体" w:eastAsia="宋体" w:hAnsi="宋体" w:cs="宋体"/>
          <w:sz w:val="18"/>
          <w:szCs w:val="18"/>
        </w:rPr>
      </w:pP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营业收入构成</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7"/>
        <w:gridCol w:w="1606"/>
        <w:gridCol w:w="1607"/>
        <w:gridCol w:w="1607"/>
      </w:tblGrid>
      <w:tr w:rsidR="00BD1BB9">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BD1BB9">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1,636,827,797.80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5.28%</w:t>
            </w:r>
          </w:p>
        </w:tc>
      </w:tr>
      <w:tr w:rsidR="00BD1BB9">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rPr>
                <w:rFonts w:ascii="宋体" w:eastAsia="宋体" w:hAnsi="宋体" w:cs="宋体"/>
                <w:sz w:val="18"/>
                <w:szCs w:val="18"/>
              </w:rPr>
            </w:pPr>
            <w:r>
              <w:rPr>
                <w:rFonts w:ascii="宋体" w:eastAsia="宋体" w:hAnsi="宋体" w:cs="宋体"/>
                <w:sz w:val="18"/>
                <w:szCs w:val="18"/>
              </w:rPr>
              <w:t>纺织化纤</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1,564,138,369.16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95.56%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1,417,310,204.22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91.16%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10.36%</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rPr>
                <w:rFonts w:ascii="宋体" w:eastAsia="宋体" w:hAnsi="宋体" w:cs="宋体"/>
                <w:sz w:val="18"/>
                <w:szCs w:val="18"/>
              </w:rPr>
            </w:pPr>
            <w:r>
              <w:rPr>
                <w:rFonts w:ascii="宋体" w:eastAsia="宋体" w:hAnsi="宋体" w:cs="宋体"/>
                <w:sz w:val="18"/>
                <w:szCs w:val="18"/>
              </w:rPr>
              <w:t>仓储</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71,502,437.40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4.37%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93,960,612.29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6.04%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-23.90%</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814988" w:rsidP="00F8078C">
            <w:pPr>
              <w:spacing w:line="276" w:lineRule="auto"/>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1,186,991.24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0.07%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43,470,490.48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2.80%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-97.27%</w:t>
            </w:r>
          </w:p>
        </w:tc>
      </w:tr>
      <w:tr w:rsidR="00BD1BB9">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F8078C">
            <w:pPr>
              <w:spacing w:before="40" w:after="40" w:line="276" w:lineRule="auto"/>
              <w:rPr>
                <w:rFonts w:ascii="宋体" w:eastAsia="宋体" w:hAnsi="宋体" w:cs="宋体"/>
                <w:sz w:val="18"/>
                <w:szCs w:val="18"/>
              </w:rPr>
            </w:pPr>
            <w:r>
              <w:rPr>
                <w:rFonts w:ascii="宋体" w:eastAsia="宋体" w:hAnsi="宋体" w:cs="宋体"/>
                <w:sz w:val="18"/>
                <w:szCs w:val="18"/>
              </w:rPr>
              <w:t>分产品</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rPr>
                <w:rFonts w:ascii="宋体" w:eastAsia="宋体" w:hAnsi="宋体" w:cs="宋体"/>
                <w:sz w:val="18"/>
                <w:szCs w:val="18"/>
              </w:rPr>
            </w:pPr>
            <w:r>
              <w:rPr>
                <w:rFonts w:ascii="宋体" w:eastAsia="宋体" w:hAnsi="宋体" w:cs="宋体"/>
                <w:sz w:val="18"/>
                <w:szCs w:val="18"/>
              </w:rPr>
              <w:t>涤纶短纤维</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1,554,402,924.96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94.96%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1,193,940,999.82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76.79%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30.19%</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rPr>
                <w:rFonts w:ascii="宋体" w:eastAsia="宋体" w:hAnsi="宋体" w:cs="宋体"/>
                <w:sz w:val="18"/>
                <w:szCs w:val="18"/>
              </w:rPr>
            </w:pPr>
            <w:r>
              <w:rPr>
                <w:rFonts w:ascii="宋体" w:eastAsia="宋体" w:hAnsi="宋体" w:cs="宋体"/>
                <w:sz w:val="18"/>
                <w:szCs w:val="18"/>
              </w:rPr>
              <w:t>仓储</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71,502,437.40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4.37%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93,960,612.29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6.04%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-23.90%</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10,922,435.44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0.67%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266,839,694.88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17.17%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-95.91%</w:t>
            </w:r>
          </w:p>
        </w:tc>
      </w:tr>
      <w:tr w:rsidR="00BD1BB9">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F8078C">
            <w:pPr>
              <w:spacing w:before="40" w:after="40" w:line="276" w:lineRule="auto"/>
              <w:rPr>
                <w:rFonts w:ascii="宋体" w:eastAsia="宋体" w:hAnsi="宋体" w:cs="宋体"/>
                <w:sz w:val="18"/>
                <w:szCs w:val="18"/>
              </w:rPr>
            </w:pPr>
            <w:r>
              <w:rPr>
                <w:rFonts w:ascii="宋体" w:eastAsia="宋体" w:hAnsi="宋体" w:cs="宋体"/>
                <w:sz w:val="18"/>
                <w:szCs w:val="18"/>
              </w:rPr>
              <w:t>分地区</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rPr>
                <w:rFonts w:ascii="宋体" w:eastAsia="宋体" w:hAnsi="宋体" w:cs="宋体"/>
                <w:sz w:val="18"/>
                <w:szCs w:val="18"/>
              </w:rPr>
            </w:pPr>
            <w:r>
              <w:rPr>
                <w:rFonts w:ascii="宋体" w:eastAsia="宋体" w:hAnsi="宋体" w:cs="宋体"/>
                <w:sz w:val="18"/>
                <w:szCs w:val="18"/>
              </w:rPr>
              <w:t>华东</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901,641,637.25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55.08%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741,314,907.48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47.68%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21.63%</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rPr>
                <w:rFonts w:ascii="宋体" w:eastAsia="宋体" w:hAnsi="宋体" w:cs="宋体"/>
                <w:sz w:val="18"/>
                <w:szCs w:val="18"/>
              </w:rPr>
            </w:pPr>
            <w:r>
              <w:rPr>
                <w:rFonts w:ascii="宋体" w:eastAsia="宋体" w:hAnsi="宋体" w:cs="宋体"/>
                <w:sz w:val="18"/>
                <w:szCs w:val="18"/>
              </w:rPr>
              <w:t>华北</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238,456,098.28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14.57%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284,009,847.80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18.27%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-16.04%</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rPr>
                <w:rFonts w:ascii="宋体" w:eastAsia="宋体" w:hAnsi="宋体" w:cs="宋体"/>
                <w:sz w:val="18"/>
                <w:szCs w:val="18"/>
              </w:rPr>
            </w:pPr>
            <w:r>
              <w:rPr>
                <w:rFonts w:ascii="宋体" w:eastAsia="宋体" w:hAnsi="宋体" w:cs="宋体"/>
                <w:sz w:val="18"/>
                <w:szCs w:val="18"/>
              </w:rPr>
              <w:t>华中</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113,483,769.71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6.93%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44,660,635.75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2.87%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154.10%</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rPr>
                <w:rFonts w:ascii="宋体" w:eastAsia="宋体" w:hAnsi="宋体" w:cs="宋体"/>
                <w:sz w:val="18"/>
                <w:szCs w:val="18"/>
              </w:rPr>
            </w:pPr>
            <w:r>
              <w:rPr>
                <w:rFonts w:ascii="宋体" w:eastAsia="宋体" w:hAnsi="宋体" w:cs="宋体"/>
                <w:sz w:val="18"/>
                <w:szCs w:val="18"/>
              </w:rPr>
              <w:t>华南</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144,493,707.82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8.83%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218,799,137.11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14.07%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-33.96%</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238,752,584.74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14.59%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265,956,778.85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17.11%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76" w:lineRule="auto"/>
              <w:jc w:val="right"/>
              <w:rPr>
                <w:rFonts w:ascii="宋体" w:eastAsia="宋体" w:hAnsi="宋体" w:cs="宋体"/>
                <w:sz w:val="18"/>
                <w:szCs w:val="18"/>
              </w:rPr>
            </w:pPr>
            <w:r>
              <w:rPr>
                <w:rFonts w:ascii="宋体" w:eastAsia="宋体" w:hAnsi="宋体" w:cs="宋体"/>
                <w:sz w:val="18"/>
                <w:szCs w:val="18"/>
              </w:rPr>
              <w:t>-10.23%</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占公司营业收入或营业利润10%以上的行业、产品或地区情况</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毛利率比上年同期增减</w:t>
            </w:r>
          </w:p>
        </w:tc>
      </w:tr>
      <w:tr w:rsidR="00BD1BB9">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纺织化纤</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1,564,138,369.16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1,489,056,590.29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5.96%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3.95%</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71,502,437.40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25,640,480.35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64.14%</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-8.95%</w:t>
            </w:r>
          </w:p>
        </w:tc>
      </w:tr>
      <w:tr w:rsidR="00BD1BB9">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1,554,402,924.96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1,478,973,787.33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30.19%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24.97%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3.97%</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71,502,437.40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25,640,480.35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64.14%</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-8.95%</w:t>
            </w:r>
          </w:p>
        </w:tc>
      </w:tr>
      <w:tr w:rsidR="00BD1BB9">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华东</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900,454,646.01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830,217,699.36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7.80%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29.03%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30.89%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华北</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238,456,098.28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225,447,330.31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5.46%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-16.04%</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-19.65%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4.26%</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华中</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113,483,769.71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105,758,845.89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154.10%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139.97%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5.49%</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华南</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144,493,707.82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137,174,371.30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-33.96%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-36.52%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3.84%</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238,752,584.74</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216,098,823.78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9.49%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-10.23%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5.57%</w:t>
            </w:r>
          </w:p>
        </w:tc>
      </w:tr>
    </w:tbl>
    <w:p w:rsidR="00C439AA" w:rsidRDefault="00C439AA">
      <w:pPr>
        <w:spacing w:before="100" w:after="100" w:line="240" w:lineRule="exact"/>
        <w:rPr>
          <w:rFonts w:ascii="宋体" w:eastAsia="宋体" w:hAnsi="宋体" w:cs="宋体"/>
          <w:sz w:val="18"/>
          <w:szCs w:val="18"/>
        </w:rPr>
      </w:pP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公司主营业务数据统计口径在报告期发生调整的情况下，公司最近1期按报告期末口径调整后的主营业务数据</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23" w:name="_Toc988906"/>
      <w:r>
        <w:rPr>
          <w:rFonts w:ascii="宋体" w:eastAsia="宋体" w:hAnsi="宋体" w:cs="宋体"/>
          <w:b/>
          <w:bCs/>
          <w:sz w:val="24"/>
          <w:szCs w:val="24"/>
        </w:rPr>
        <w:t>四、非主营业务分析</w:t>
      </w:r>
      <w:bookmarkEnd w:id="23"/>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24" w:name="_Toc988907"/>
      <w:r>
        <w:rPr>
          <w:rFonts w:ascii="宋体" w:eastAsia="宋体" w:hAnsi="宋体" w:cs="宋体"/>
          <w:b/>
          <w:bCs/>
          <w:sz w:val="24"/>
          <w:szCs w:val="24"/>
        </w:rPr>
        <w:t>五、资产及负债状况分析</w:t>
      </w:r>
      <w:bookmarkEnd w:id="24"/>
    </w:p>
    <w:p w:rsidR="00BD1BB9" w:rsidRDefault="00452DEF">
      <w:pPr>
        <w:pStyle w:val="3"/>
        <w:spacing w:line="280" w:lineRule="exact"/>
        <w:jc w:val="left"/>
        <w:rPr>
          <w:rFonts w:ascii="宋体" w:hAnsi="宋体" w:cs="宋体"/>
          <w:b/>
          <w:bCs/>
        </w:rPr>
      </w:pPr>
      <w:bookmarkStart w:id="25" w:name="_Toc988908"/>
      <w:r>
        <w:rPr>
          <w:rFonts w:ascii="宋体" w:hAnsi="宋体" w:cs="宋体"/>
          <w:b/>
          <w:bCs/>
        </w:rPr>
        <w:t>1、资产构成重大变动情况</w:t>
      </w:r>
      <w:bookmarkEnd w:id="25"/>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708"/>
        <w:gridCol w:w="1046"/>
        <w:gridCol w:w="1647"/>
        <w:gridCol w:w="1107"/>
        <w:gridCol w:w="1020"/>
        <w:gridCol w:w="1734"/>
      </w:tblGrid>
      <w:tr w:rsidR="00BD1BB9" w:rsidTr="00F84AE3">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上年末</w:t>
            </w:r>
          </w:p>
        </w:tc>
        <w:tc>
          <w:tcPr>
            <w:tcW w:w="102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比重增减</w:t>
            </w:r>
          </w:p>
        </w:tc>
        <w:tc>
          <w:tcPr>
            <w:tcW w:w="17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BD1BB9" w:rsidTr="00F84AE3">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70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46" w:type="dxa"/>
            <w:tcBorders>
              <w:top w:val="single" w:sz="2" w:space="0" w:color="auto"/>
              <w:left w:val="single" w:sz="2" w:space="0" w:color="auto"/>
              <w:bottom w:val="single" w:sz="2" w:space="0" w:color="auto"/>
              <w:right w:val="single" w:sz="2" w:space="0" w:color="auto"/>
            </w:tcBorders>
            <w:shd w:val="clear" w:color="auto" w:fill="D3D3D3"/>
            <w:vAlign w:val="center"/>
          </w:tcPr>
          <w:p w:rsidR="00612F73"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w:t>
            </w:r>
          </w:p>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64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107" w:type="dxa"/>
            <w:tcBorders>
              <w:top w:val="single" w:sz="2" w:space="0" w:color="auto"/>
              <w:left w:val="single" w:sz="2" w:space="0" w:color="auto"/>
              <w:bottom w:val="single" w:sz="2" w:space="0" w:color="auto"/>
              <w:right w:val="single" w:sz="2" w:space="0" w:color="auto"/>
            </w:tcBorders>
            <w:shd w:val="clear" w:color="auto" w:fill="D3D3D3"/>
            <w:vAlign w:val="center"/>
          </w:tcPr>
          <w:p w:rsidR="00612F73"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w:t>
            </w:r>
          </w:p>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02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7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686,798,382.59</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9.99%</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441,778,914.83</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6.70%</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3.29%</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主要原因是：①本期经营活动产生的现金流量净额增加；②期末借款保证金增加。</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145,726,894.72</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2.12%</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128,178,794.58</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1.95%</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0.17%</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BD1BB9" w:rsidP="00F8078C">
            <w:pPr>
              <w:spacing w:line="240" w:lineRule="exact"/>
              <w:jc w:val="both"/>
              <w:rPr>
                <w:rFonts w:ascii="宋体" w:eastAsia="宋体" w:hAnsi="宋体" w:cs="宋体"/>
                <w:sz w:val="18"/>
                <w:szCs w:val="18"/>
              </w:rPr>
            </w:pP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存货</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309,713,180.58</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4.51%</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454,089,779.99</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6.89%</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-2.38%</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主要原因是期末原材料库存减少。</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长期股权投资</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3,603,001,110.51</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52.41%</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3,481,653,682.96</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52.84%</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-0.43%</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BD1BB9" w:rsidP="00F8078C">
            <w:pPr>
              <w:spacing w:line="240" w:lineRule="exact"/>
              <w:jc w:val="both"/>
              <w:rPr>
                <w:rFonts w:ascii="宋体" w:eastAsia="宋体" w:hAnsi="宋体" w:cs="宋体"/>
                <w:sz w:val="18"/>
                <w:szCs w:val="18"/>
              </w:rPr>
            </w:pP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550,830,460.78</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8.01%</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552,829,127.63</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8.39%</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-0.38%</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BD1BB9" w:rsidP="00F8078C">
            <w:pPr>
              <w:spacing w:line="240" w:lineRule="exact"/>
              <w:jc w:val="both"/>
              <w:rPr>
                <w:rFonts w:ascii="宋体" w:eastAsia="宋体" w:hAnsi="宋体" w:cs="宋体"/>
                <w:sz w:val="18"/>
                <w:szCs w:val="18"/>
              </w:rPr>
            </w:pP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16,131,764.57</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0.23%</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23,584,321.75</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0.36%</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-0.13%</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主要原因是本期部分在建工程项目完工转固。</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短期借款</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1,159,514,058.29</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16.87%</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978,290,953.20</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14.85%</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2.02%</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BD1BB9" w:rsidP="00F8078C">
            <w:pPr>
              <w:spacing w:line="240" w:lineRule="exact"/>
              <w:jc w:val="both"/>
              <w:rPr>
                <w:rFonts w:ascii="宋体" w:eastAsia="宋体" w:hAnsi="宋体" w:cs="宋体"/>
                <w:sz w:val="18"/>
                <w:szCs w:val="18"/>
              </w:rPr>
            </w:pP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合同负债</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131,266,311.39</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1.91%</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87,523,406.28</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1.33%</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0.58%</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主要原因是期末化纤厂预收销售合同货款增加。</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应收票据</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75,761,409.44</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1.10%</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119,568,708.24</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1.81%</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-0.71%</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主要原因是期末公司已背书且在资产负债表日尚未到期的应收票据减少。</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297,458,296.75</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4.33%</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200,883,796.09</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3.05%</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1.28%</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主要原因是本期以银行承兑汇票结算方式收回的货款增加。</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预付款项</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36,243,680.56</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0.53%</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25,189,721.92</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0.38%</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0.15%</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主要原因是期末预付的原材料采购款项增加。</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其他流动资产</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9,836,324.73</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0.14%</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22,294,253.67</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0.34%</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-0.20%</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主要原因是期末增值税留抵税额减少。</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其他非流动资产</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987,000.00</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1,548,900.00</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主要原因是期末预付的长期资产构建款项减少。</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应付账款</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95,911,690.64</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1.40%</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157,544,954.27</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2.39%</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-0.99%</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主要原因是期末应付的原材料采购款项减少。</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lastRenderedPageBreak/>
              <w:t>预收款项</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2,301,825.75</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3,295,307.31</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主要原因是期末预收的仓储款项减少。</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应付职工薪酬</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23,552,206.74</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0.34%</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35,035,296.65</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0.53%</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-0.19%</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主要原因是本期支付了上年计提的奖金款项。</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应交税费</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24,450,295.30</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0.36%</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13,849,070.02</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0.21%</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0.15%</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主要原因是期末应交增值税增加。</w:t>
            </w:r>
          </w:p>
        </w:tc>
      </w:tr>
      <w:tr w:rsidR="00BD1BB9" w:rsidTr="00F84A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其他流动负债</w:t>
            </w:r>
          </w:p>
        </w:tc>
        <w:tc>
          <w:tcPr>
            <w:tcW w:w="170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51,421,349.23</w:t>
            </w:r>
          </w:p>
        </w:tc>
        <w:tc>
          <w:tcPr>
            <w:tcW w:w="104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0.75%</w:t>
            </w:r>
          </w:p>
        </w:tc>
        <w:tc>
          <w:tcPr>
            <w:tcW w:w="164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77,173,540.93</w:t>
            </w:r>
          </w:p>
        </w:tc>
        <w:tc>
          <w:tcPr>
            <w:tcW w:w="11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1.17%</w:t>
            </w:r>
          </w:p>
        </w:tc>
        <w:tc>
          <w:tcPr>
            <w:tcW w:w="10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-0.42%</w:t>
            </w:r>
          </w:p>
        </w:tc>
        <w:tc>
          <w:tcPr>
            <w:tcW w:w="1734"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主要原因是期末公司已背书且在资产负债表日尚未到期的应收票据减少。</w:t>
            </w:r>
          </w:p>
        </w:tc>
      </w:tr>
      <w:tr w:rsidR="00F84AE3" w:rsidTr="00F84A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rPr>
                <w:rFonts w:ascii="宋体" w:eastAsia="宋体" w:hAnsi="宋体" w:cs="宋体"/>
                <w:sz w:val="18"/>
                <w:szCs w:val="18"/>
              </w:rPr>
            </w:pPr>
            <w:bookmarkStart w:id="26" w:name="_Hlk207004129"/>
            <w:r>
              <w:rPr>
                <w:rFonts w:ascii="宋体" w:eastAsia="宋体" w:hAnsi="宋体" w:cs="宋体"/>
                <w:sz w:val="18"/>
                <w:szCs w:val="18"/>
              </w:rPr>
              <w:t>一年内到期的非流动负债</w:t>
            </w:r>
          </w:p>
        </w:tc>
        <w:tc>
          <w:tcPr>
            <w:tcW w:w="1708"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jc w:val="right"/>
              <w:rPr>
                <w:rFonts w:ascii="宋体" w:eastAsia="宋体" w:hAnsi="宋体" w:cs="宋体"/>
                <w:sz w:val="18"/>
                <w:szCs w:val="18"/>
              </w:rPr>
            </w:pPr>
            <w:r w:rsidRPr="00F84AE3">
              <w:rPr>
                <w:rFonts w:ascii="宋体" w:eastAsia="宋体" w:hAnsi="宋体" w:cs="宋体" w:hint="eastAsia"/>
                <w:sz w:val="18"/>
                <w:szCs w:val="18"/>
              </w:rPr>
              <w:t xml:space="preserve">  19,017,100.00</w:t>
            </w:r>
          </w:p>
        </w:tc>
        <w:tc>
          <w:tcPr>
            <w:tcW w:w="1046"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jc w:val="right"/>
              <w:rPr>
                <w:rFonts w:ascii="宋体" w:eastAsia="宋体" w:hAnsi="宋体" w:cs="宋体"/>
                <w:sz w:val="18"/>
                <w:szCs w:val="18"/>
              </w:rPr>
            </w:pPr>
            <w:r>
              <w:rPr>
                <w:rFonts w:ascii="宋体" w:eastAsia="宋体" w:hAnsi="宋体" w:cs="宋体" w:hint="eastAsia"/>
                <w:sz w:val="18"/>
                <w:szCs w:val="18"/>
              </w:rPr>
              <w:t>0.28%</w:t>
            </w:r>
          </w:p>
        </w:tc>
        <w:tc>
          <w:tcPr>
            <w:tcW w:w="1647"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1107"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1020"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jc w:val="right"/>
              <w:rPr>
                <w:rFonts w:ascii="宋体" w:eastAsia="宋体" w:hAnsi="宋体" w:cs="宋体"/>
                <w:sz w:val="18"/>
                <w:szCs w:val="18"/>
              </w:rPr>
            </w:pPr>
            <w:r>
              <w:rPr>
                <w:rFonts w:ascii="宋体" w:eastAsia="宋体" w:hAnsi="宋体" w:cs="宋体" w:hint="eastAsia"/>
                <w:sz w:val="18"/>
                <w:szCs w:val="18"/>
              </w:rPr>
              <w:t>0.28%</w:t>
            </w:r>
          </w:p>
        </w:tc>
        <w:tc>
          <w:tcPr>
            <w:tcW w:w="1734" w:type="dxa"/>
            <w:vMerge w:val="restart"/>
            <w:tcBorders>
              <w:top w:val="single" w:sz="2" w:space="0" w:color="auto"/>
              <w:left w:val="single" w:sz="2" w:space="0" w:color="auto"/>
              <w:right w:val="single" w:sz="2" w:space="0" w:color="auto"/>
            </w:tcBorders>
            <w:vAlign w:val="center"/>
          </w:tcPr>
          <w:p w:rsidR="00F84AE3" w:rsidRDefault="008D04BC" w:rsidP="008D04BC">
            <w:pPr>
              <w:spacing w:line="240" w:lineRule="exact"/>
              <w:jc w:val="both"/>
              <w:rPr>
                <w:rFonts w:ascii="宋体" w:eastAsia="宋体" w:hAnsi="宋体" w:cs="宋体"/>
                <w:sz w:val="18"/>
                <w:szCs w:val="18"/>
              </w:rPr>
            </w:pPr>
            <w:bookmarkStart w:id="27" w:name="OLE_LINK29"/>
            <w:bookmarkStart w:id="28" w:name="OLE_LINK30"/>
            <w:r>
              <w:rPr>
                <w:rFonts w:ascii="宋体" w:eastAsia="宋体" w:hAnsi="宋体" w:cs="宋体" w:hint="eastAsia"/>
                <w:sz w:val="18"/>
                <w:szCs w:val="18"/>
              </w:rPr>
              <w:t>一年内到期的长期借款调整列示</w:t>
            </w:r>
            <w:bookmarkEnd w:id="27"/>
            <w:bookmarkEnd w:id="28"/>
            <w:r>
              <w:rPr>
                <w:rFonts w:ascii="宋体" w:eastAsia="宋体" w:hAnsi="宋体" w:cs="宋体" w:hint="eastAsia"/>
                <w:sz w:val="18"/>
                <w:szCs w:val="18"/>
              </w:rPr>
              <w:t>。</w:t>
            </w:r>
          </w:p>
        </w:tc>
      </w:tr>
      <w:tr w:rsidR="00F84AE3" w:rsidTr="00F84A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rPr>
                <w:rFonts w:ascii="宋体" w:eastAsia="宋体" w:hAnsi="宋体" w:cs="宋体"/>
                <w:sz w:val="18"/>
                <w:szCs w:val="18"/>
              </w:rPr>
            </w:pPr>
            <w:r>
              <w:rPr>
                <w:rFonts w:ascii="宋体" w:eastAsia="宋体" w:hAnsi="宋体" w:cs="宋体"/>
                <w:sz w:val="18"/>
                <w:szCs w:val="18"/>
              </w:rPr>
              <w:t>长期借款</w:t>
            </w:r>
          </w:p>
        </w:tc>
        <w:tc>
          <w:tcPr>
            <w:tcW w:w="1708"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1046"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1647" w:type="dxa"/>
            <w:tcBorders>
              <w:top w:val="single" w:sz="2" w:space="0" w:color="auto"/>
              <w:left w:val="single" w:sz="2" w:space="0" w:color="auto"/>
              <w:bottom w:val="single" w:sz="2" w:space="0" w:color="auto"/>
              <w:right w:val="single" w:sz="2" w:space="0" w:color="auto"/>
            </w:tcBorders>
            <w:vAlign w:val="center"/>
          </w:tcPr>
          <w:p w:rsidR="00F84AE3" w:rsidRPr="00F84AE3" w:rsidRDefault="00F84AE3" w:rsidP="00F84AE3">
            <w:pPr>
              <w:jc w:val="right"/>
              <w:rPr>
                <w:rFonts w:ascii="宋体" w:eastAsia="宋体" w:hAnsi="宋体" w:cs="宋体"/>
                <w:sz w:val="18"/>
                <w:szCs w:val="18"/>
              </w:rPr>
            </w:pPr>
            <w:r w:rsidRPr="00F84AE3">
              <w:rPr>
                <w:rFonts w:ascii="宋体" w:eastAsia="宋体" w:hAnsi="宋体" w:cs="宋体" w:hint="eastAsia"/>
                <w:sz w:val="18"/>
                <w:szCs w:val="18"/>
              </w:rPr>
              <w:t xml:space="preserve">               19,519,743.75 </w:t>
            </w:r>
          </w:p>
          <w:p w:rsidR="00F84AE3" w:rsidRDefault="00F84AE3">
            <w:pPr>
              <w:spacing w:line="240" w:lineRule="exact"/>
              <w:jc w:val="right"/>
              <w:rPr>
                <w:rFonts w:ascii="宋体" w:eastAsia="宋体" w:hAnsi="宋体" w:cs="宋体"/>
                <w:sz w:val="18"/>
                <w:szCs w:val="18"/>
              </w:rPr>
            </w:pPr>
          </w:p>
        </w:tc>
        <w:tc>
          <w:tcPr>
            <w:tcW w:w="1107"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jc w:val="right"/>
              <w:rPr>
                <w:rFonts w:ascii="宋体" w:eastAsia="宋体" w:hAnsi="宋体" w:cs="宋体"/>
                <w:sz w:val="18"/>
                <w:szCs w:val="18"/>
              </w:rPr>
            </w:pPr>
            <w:r>
              <w:rPr>
                <w:rFonts w:ascii="宋体" w:eastAsia="宋体" w:hAnsi="宋体" w:cs="宋体" w:hint="eastAsia"/>
                <w:sz w:val="18"/>
                <w:szCs w:val="18"/>
              </w:rPr>
              <w:t>0.30%</w:t>
            </w:r>
          </w:p>
        </w:tc>
        <w:tc>
          <w:tcPr>
            <w:tcW w:w="1020"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jc w:val="right"/>
              <w:rPr>
                <w:rFonts w:ascii="宋体" w:eastAsia="宋体" w:hAnsi="宋体" w:cs="宋体"/>
                <w:sz w:val="18"/>
                <w:szCs w:val="18"/>
              </w:rPr>
            </w:pPr>
            <w:r>
              <w:rPr>
                <w:rFonts w:ascii="宋体" w:eastAsia="宋体" w:hAnsi="宋体" w:cs="宋体" w:hint="eastAsia"/>
                <w:sz w:val="18"/>
                <w:szCs w:val="18"/>
              </w:rPr>
              <w:t>-0.30%</w:t>
            </w:r>
          </w:p>
        </w:tc>
        <w:tc>
          <w:tcPr>
            <w:tcW w:w="1734" w:type="dxa"/>
            <w:vMerge/>
            <w:tcBorders>
              <w:left w:val="single" w:sz="2" w:space="0" w:color="auto"/>
              <w:bottom w:val="single" w:sz="2" w:space="0" w:color="auto"/>
              <w:right w:val="single" w:sz="2" w:space="0" w:color="auto"/>
            </w:tcBorders>
            <w:vAlign w:val="center"/>
          </w:tcPr>
          <w:p w:rsidR="00F84AE3" w:rsidRDefault="00F84AE3" w:rsidP="00F8078C">
            <w:pPr>
              <w:spacing w:line="240" w:lineRule="exact"/>
              <w:jc w:val="both"/>
              <w:rPr>
                <w:rFonts w:ascii="宋体" w:eastAsia="宋体" w:hAnsi="宋体" w:cs="宋体"/>
                <w:sz w:val="18"/>
                <w:szCs w:val="18"/>
              </w:rPr>
            </w:pPr>
          </w:p>
        </w:tc>
      </w:tr>
    </w:tbl>
    <w:p w:rsidR="00BD1BB9" w:rsidRDefault="00452DEF">
      <w:pPr>
        <w:pStyle w:val="3"/>
        <w:spacing w:line="280" w:lineRule="exact"/>
        <w:jc w:val="left"/>
        <w:rPr>
          <w:rFonts w:ascii="宋体" w:hAnsi="宋体" w:cs="宋体"/>
          <w:b/>
          <w:bCs/>
        </w:rPr>
      </w:pPr>
      <w:bookmarkStart w:id="29" w:name="_Toc988909"/>
      <w:bookmarkEnd w:id="26"/>
      <w:r>
        <w:rPr>
          <w:rFonts w:ascii="宋体" w:hAnsi="宋体" w:cs="宋体"/>
          <w:b/>
          <w:bCs/>
        </w:rPr>
        <w:t>2、主要境外资产情况</w:t>
      </w:r>
      <w:bookmarkEnd w:id="29"/>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42"/>
        <w:gridCol w:w="900"/>
        <w:gridCol w:w="1227"/>
        <w:gridCol w:w="915"/>
        <w:gridCol w:w="927"/>
        <w:gridCol w:w="1276"/>
        <w:gridCol w:w="1010"/>
        <w:gridCol w:w="1071"/>
        <w:gridCol w:w="1071"/>
      </w:tblGrid>
      <w:tr w:rsidR="00BD1BB9" w:rsidTr="00F14411">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资产的具体内容</w:t>
            </w:r>
          </w:p>
        </w:tc>
        <w:tc>
          <w:tcPr>
            <w:tcW w:w="900" w:type="dxa"/>
            <w:tcBorders>
              <w:top w:val="single" w:sz="2" w:space="0" w:color="auto"/>
              <w:left w:val="single" w:sz="2" w:space="0" w:color="auto"/>
              <w:bottom w:val="single" w:sz="2" w:space="0" w:color="auto"/>
              <w:right w:val="single" w:sz="2" w:space="0" w:color="auto"/>
            </w:tcBorders>
            <w:shd w:val="clear" w:color="auto" w:fill="D3D3D3"/>
            <w:vAlign w:val="center"/>
          </w:tcPr>
          <w:p w:rsidR="00F8078C"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形成</w:t>
            </w:r>
          </w:p>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c>
          <w:tcPr>
            <w:tcW w:w="122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资产规模</w:t>
            </w:r>
          </w:p>
        </w:tc>
        <w:tc>
          <w:tcPr>
            <w:tcW w:w="91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所在地</w:t>
            </w:r>
          </w:p>
        </w:tc>
        <w:tc>
          <w:tcPr>
            <w:tcW w:w="927" w:type="dxa"/>
            <w:tcBorders>
              <w:top w:val="single" w:sz="2" w:space="0" w:color="auto"/>
              <w:left w:val="single" w:sz="2" w:space="0" w:color="auto"/>
              <w:bottom w:val="single" w:sz="2" w:space="0" w:color="auto"/>
              <w:right w:val="single" w:sz="2" w:space="0" w:color="auto"/>
            </w:tcBorders>
            <w:shd w:val="clear" w:color="auto" w:fill="D3D3D3"/>
            <w:vAlign w:val="center"/>
          </w:tcPr>
          <w:p w:rsidR="002E50D3"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运营</w:t>
            </w:r>
          </w:p>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模式</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保障资产安全性的控制措施</w:t>
            </w:r>
          </w:p>
        </w:tc>
        <w:tc>
          <w:tcPr>
            <w:tcW w:w="10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收益状况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境外资产占公司净资产的比重</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是否存在重大减值风险</w:t>
            </w:r>
          </w:p>
        </w:tc>
      </w:tr>
      <w:tr w:rsidR="00BD1BB9" w:rsidTr="00F144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索尔思光电6,549.65万股股份</w:t>
            </w:r>
          </w:p>
        </w:tc>
        <w:tc>
          <w:tcPr>
            <w:tcW w:w="900" w:type="dxa"/>
            <w:tcBorders>
              <w:top w:val="single" w:sz="2" w:space="0" w:color="auto"/>
              <w:left w:val="single" w:sz="2" w:space="0" w:color="auto"/>
              <w:bottom w:val="single" w:sz="2" w:space="0" w:color="auto"/>
              <w:right w:val="single" w:sz="2" w:space="0" w:color="auto"/>
            </w:tcBorders>
            <w:vAlign w:val="center"/>
          </w:tcPr>
          <w:p w:rsidR="002E50D3" w:rsidRDefault="00452DEF" w:rsidP="002E50D3">
            <w:pPr>
              <w:spacing w:line="240" w:lineRule="exact"/>
              <w:jc w:val="center"/>
              <w:rPr>
                <w:rFonts w:ascii="宋体" w:eastAsia="宋体" w:hAnsi="宋体" w:cs="宋体"/>
                <w:sz w:val="18"/>
                <w:szCs w:val="18"/>
              </w:rPr>
            </w:pPr>
            <w:r>
              <w:rPr>
                <w:rFonts w:ascii="宋体" w:eastAsia="宋体" w:hAnsi="宋体" w:cs="宋体"/>
                <w:sz w:val="18"/>
                <w:szCs w:val="18"/>
              </w:rPr>
              <w:t>资产</w:t>
            </w:r>
          </w:p>
          <w:p w:rsidR="00BD1BB9" w:rsidRDefault="00452DEF" w:rsidP="002E50D3">
            <w:pPr>
              <w:spacing w:line="240" w:lineRule="exact"/>
              <w:jc w:val="center"/>
              <w:rPr>
                <w:rFonts w:ascii="宋体" w:eastAsia="宋体" w:hAnsi="宋体" w:cs="宋体"/>
                <w:sz w:val="18"/>
                <w:szCs w:val="18"/>
              </w:rPr>
            </w:pPr>
            <w:r>
              <w:rPr>
                <w:rFonts w:ascii="宋体" w:eastAsia="宋体" w:hAnsi="宋体" w:cs="宋体"/>
                <w:sz w:val="18"/>
                <w:szCs w:val="18"/>
              </w:rPr>
              <w:t>收购</w:t>
            </w:r>
          </w:p>
        </w:tc>
        <w:tc>
          <w:tcPr>
            <w:tcW w:w="122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115,248.92 万元</w:t>
            </w:r>
          </w:p>
        </w:tc>
        <w:tc>
          <w:tcPr>
            <w:tcW w:w="915" w:type="dxa"/>
            <w:tcBorders>
              <w:top w:val="single" w:sz="2" w:space="0" w:color="auto"/>
              <w:left w:val="single" w:sz="2" w:space="0" w:color="auto"/>
              <w:bottom w:val="single" w:sz="2" w:space="0" w:color="auto"/>
              <w:right w:val="single" w:sz="2" w:space="0" w:color="auto"/>
            </w:tcBorders>
            <w:vAlign w:val="center"/>
          </w:tcPr>
          <w:p w:rsidR="00F8078C" w:rsidRDefault="00452DEF" w:rsidP="00F8078C">
            <w:pPr>
              <w:spacing w:line="240" w:lineRule="exact"/>
              <w:jc w:val="center"/>
              <w:rPr>
                <w:rFonts w:ascii="宋体" w:eastAsia="宋体" w:hAnsi="宋体" w:cs="宋体"/>
                <w:sz w:val="18"/>
                <w:szCs w:val="18"/>
              </w:rPr>
            </w:pPr>
            <w:r>
              <w:rPr>
                <w:rFonts w:ascii="宋体" w:eastAsia="宋体" w:hAnsi="宋体" w:cs="宋体"/>
                <w:sz w:val="18"/>
                <w:szCs w:val="18"/>
              </w:rPr>
              <w:t>开曼</w:t>
            </w:r>
          </w:p>
          <w:p w:rsidR="00BD1BB9" w:rsidRDefault="00452DEF" w:rsidP="00F8078C">
            <w:pPr>
              <w:spacing w:line="240" w:lineRule="exact"/>
              <w:jc w:val="center"/>
              <w:rPr>
                <w:rFonts w:ascii="宋体" w:eastAsia="宋体" w:hAnsi="宋体" w:cs="宋体"/>
                <w:sz w:val="18"/>
                <w:szCs w:val="18"/>
              </w:rPr>
            </w:pPr>
            <w:r>
              <w:rPr>
                <w:rFonts w:ascii="宋体" w:eastAsia="宋体" w:hAnsi="宋体" w:cs="宋体"/>
                <w:sz w:val="18"/>
                <w:szCs w:val="18"/>
              </w:rPr>
              <w:t>群岛</w:t>
            </w:r>
          </w:p>
        </w:tc>
        <w:tc>
          <w:tcPr>
            <w:tcW w:w="927"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center"/>
              <w:rPr>
                <w:rFonts w:ascii="宋体" w:eastAsia="宋体" w:hAnsi="宋体" w:cs="宋体"/>
                <w:sz w:val="18"/>
                <w:szCs w:val="18"/>
              </w:rPr>
            </w:pPr>
            <w:r>
              <w:rPr>
                <w:rFonts w:ascii="宋体" w:eastAsia="宋体" w:hAnsi="宋体" w:cs="宋体"/>
                <w:sz w:val="18"/>
                <w:szCs w:val="18"/>
              </w:rPr>
              <w:t>垂直整合模式</w:t>
            </w:r>
          </w:p>
        </w:tc>
        <w:tc>
          <w:tcPr>
            <w:tcW w:w="1276" w:type="dxa"/>
            <w:tcBorders>
              <w:top w:val="single" w:sz="2" w:space="0" w:color="auto"/>
              <w:left w:val="single" w:sz="2" w:space="0" w:color="auto"/>
              <w:bottom w:val="single" w:sz="2" w:space="0" w:color="auto"/>
              <w:right w:val="single" w:sz="2" w:space="0" w:color="auto"/>
            </w:tcBorders>
            <w:vAlign w:val="center"/>
          </w:tcPr>
          <w:p w:rsidR="00BD1BB9" w:rsidRDefault="00452DEF" w:rsidP="00F8078C">
            <w:pPr>
              <w:spacing w:line="240" w:lineRule="exact"/>
              <w:jc w:val="both"/>
              <w:rPr>
                <w:rFonts w:ascii="宋体" w:eastAsia="宋体" w:hAnsi="宋体" w:cs="宋体"/>
                <w:sz w:val="18"/>
                <w:szCs w:val="18"/>
              </w:rPr>
            </w:pPr>
            <w:r>
              <w:rPr>
                <w:rFonts w:ascii="宋体" w:eastAsia="宋体" w:hAnsi="宋体" w:cs="宋体"/>
                <w:sz w:val="18"/>
                <w:szCs w:val="18"/>
              </w:rPr>
              <w:t>公司定期取得并审阅索尔思光电财务报告，及时了解其生产经营状况，确保公司的资产安全。</w:t>
            </w:r>
          </w:p>
        </w:tc>
        <w:tc>
          <w:tcPr>
            <w:tcW w:w="10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 xml:space="preserve"> 9,041.51万元</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21.61%</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rsidP="00600733">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BD1BB9" w:rsidTr="00F8078C">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其他情况说明</w:t>
            </w:r>
          </w:p>
        </w:tc>
        <w:tc>
          <w:tcPr>
            <w:tcW w:w="8397"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无。</w:t>
            </w:r>
          </w:p>
        </w:tc>
      </w:tr>
    </w:tbl>
    <w:p w:rsidR="00BD1BB9" w:rsidRPr="00026617" w:rsidRDefault="00452DEF">
      <w:pPr>
        <w:pStyle w:val="3"/>
        <w:spacing w:line="280" w:lineRule="exact"/>
        <w:jc w:val="left"/>
        <w:rPr>
          <w:rFonts w:ascii="宋体" w:hAnsi="宋体" w:cs="宋体"/>
          <w:b/>
          <w:bCs/>
        </w:rPr>
      </w:pPr>
      <w:bookmarkStart w:id="30" w:name="_Toc988910"/>
      <w:r w:rsidRPr="00026617">
        <w:rPr>
          <w:rFonts w:ascii="宋体" w:hAnsi="宋体" w:cs="宋体"/>
          <w:b/>
          <w:bCs/>
        </w:rPr>
        <w:t>3、以公允价值计量的资产和负债</w:t>
      </w:r>
      <w:bookmarkEnd w:id="30"/>
    </w:p>
    <w:p w:rsidR="00BD1BB9" w:rsidRPr="00026617" w:rsidRDefault="00452DEF">
      <w:pPr>
        <w:spacing w:before="40" w:after="40" w:line="240" w:lineRule="exact"/>
        <w:rPr>
          <w:rFonts w:ascii="宋体" w:eastAsia="宋体" w:hAnsi="宋体" w:cs="宋体"/>
          <w:sz w:val="18"/>
          <w:szCs w:val="18"/>
        </w:rPr>
      </w:pPr>
      <w:r w:rsidRPr="00026617">
        <w:rPr>
          <w:rFonts w:ascii="宋体" w:eastAsia="宋体" w:hAnsi="宋体" w:cs="宋体"/>
          <w:sz w:val="18"/>
          <w:szCs w:val="18"/>
        </w:rPr>
        <w:sym w:font="Wingdings 2" w:char="F052"/>
      </w:r>
      <w:r w:rsidRPr="00026617">
        <w:rPr>
          <w:rFonts w:ascii="宋体" w:eastAsia="宋体" w:hAnsi="宋体" w:cs="宋体"/>
          <w:sz w:val="18"/>
          <w:szCs w:val="18"/>
        </w:rPr>
        <w:t>适用 □不适用</w:t>
      </w:r>
    </w:p>
    <w:p w:rsidR="00BD1BB9" w:rsidRPr="00026617" w:rsidRDefault="00452DEF">
      <w:pPr>
        <w:spacing w:before="120" w:after="120" w:line="240" w:lineRule="exact"/>
        <w:jc w:val="right"/>
        <w:rPr>
          <w:rFonts w:ascii="宋体" w:eastAsia="宋体" w:hAnsi="宋体" w:cs="宋体"/>
          <w:sz w:val="18"/>
          <w:szCs w:val="18"/>
        </w:rPr>
      </w:pPr>
      <w:r w:rsidRPr="00026617">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BD1BB9" w:rsidRPr="0002661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452DEF">
            <w:pPr>
              <w:spacing w:before="40" w:after="40" w:line="240" w:lineRule="exact"/>
              <w:jc w:val="center"/>
              <w:rPr>
                <w:rFonts w:ascii="宋体" w:eastAsia="宋体" w:hAnsi="宋体" w:cs="宋体"/>
                <w:sz w:val="18"/>
                <w:szCs w:val="18"/>
              </w:rPr>
            </w:pPr>
            <w:r w:rsidRPr="00026617">
              <w:rPr>
                <w:rFonts w:ascii="宋体" w:eastAsia="宋体" w:hAnsi="宋体" w:cs="宋体"/>
                <w:sz w:val="18"/>
                <w:szCs w:val="18"/>
              </w:rPr>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452DEF">
            <w:pPr>
              <w:spacing w:before="40" w:after="40" w:line="240" w:lineRule="exact"/>
              <w:jc w:val="center"/>
              <w:rPr>
                <w:rFonts w:ascii="宋体" w:eastAsia="宋体" w:hAnsi="宋体" w:cs="宋体"/>
                <w:sz w:val="18"/>
                <w:szCs w:val="18"/>
              </w:rPr>
            </w:pPr>
            <w:r w:rsidRPr="00026617">
              <w:rPr>
                <w:rFonts w:ascii="宋体" w:eastAsia="宋体" w:hAnsi="宋体"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452DEF">
            <w:pPr>
              <w:spacing w:before="40" w:after="40" w:line="240" w:lineRule="exact"/>
              <w:jc w:val="center"/>
              <w:rPr>
                <w:rFonts w:ascii="宋体" w:eastAsia="宋体" w:hAnsi="宋体" w:cs="宋体"/>
                <w:sz w:val="18"/>
                <w:szCs w:val="18"/>
              </w:rPr>
            </w:pPr>
            <w:r w:rsidRPr="00026617">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452DEF">
            <w:pPr>
              <w:spacing w:before="40" w:after="40" w:line="240" w:lineRule="exact"/>
              <w:jc w:val="center"/>
              <w:rPr>
                <w:rFonts w:ascii="宋体" w:eastAsia="宋体" w:hAnsi="宋体" w:cs="宋体"/>
                <w:sz w:val="18"/>
                <w:szCs w:val="18"/>
              </w:rPr>
            </w:pPr>
            <w:r w:rsidRPr="00026617">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452DEF">
            <w:pPr>
              <w:spacing w:before="40" w:after="40" w:line="240" w:lineRule="exact"/>
              <w:jc w:val="center"/>
              <w:rPr>
                <w:rFonts w:ascii="宋体" w:eastAsia="宋体" w:hAnsi="宋体" w:cs="宋体"/>
                <w:sz w:val="18"/>
                <w:szCs w:val="18"/>
              </w:rPr>
            </w:pPr>
            <w:r w:rsidRPr="00026617">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452DEF">
            <w:pPr>
              <w:spacing w:before="40" w:after="40" w:line="240" w:lineRule="exact"/>
              <w:jc w:val="center"/>
              <w:rPr>
                <w:rFonts w:ascii="宋体" w:eastAsia="宋体" w:hAnsi="宋体" w:cs="宋体"/>
                <w:sz w:val="18"/>
                <w:szCs w:val="18"/>
              </w:rPr>
            </w:pPr>
            <w:r w:rsidRPr="00026617">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452DEF">
            <w:pPr>
              <w:spacing w:before="40" w:after="40" w:line="240" w:lineRule="exact"/>
              <w:jc w:val="center"/>
              <w:rPr>
                <w:rFonts w:ascii="宋体" w:eastAsia="宋体" w:hAnsi="宋体" w:cs="宋体"/>
                <w:sz w:val="18"/>
                <w:szCs w:val="18"/>
              </w:rPr>
            </w:pPr>
            <w:r w:rsidRPr="00026617">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452DEF">
            <w:pPr>
              <w:spacing w:before="40" w:after="40" w:line="240" w:lineRule="exact"/>
              <w:jc w:val="center"/>
              <w:rPr>
                <w:rFonts w:ascii="宋体" w:eastAsia="宋体" w:hAnsi="宋体" w:cs="宋体"/>
                <w:sz w:val="18"/>
                <w:szCs w:val="18"/>
              </w:rPr>
            </w:pPr>
            <w:r w:rsidRPr="00026617">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452DEF">
            <w:pPr>
              <w:spacing w:before="40" w:after="40" w:line="240" w:lineRule="exact"/>
              <w:jc w:val="center"/>
              <w:rPr>
                <w:rFonts w:ascii="宋体" w:eastAsia="宋体" w:hAnsi="宋体" w:cs="宋体"/>
                <w:sz w:val="18"/>
                <w:szCs w:val="18"/>
              </w:rPr>
            </w:pPr>
            <w:r w:rsidRPr="00026617">
              <w:rPr>
                <w:rFonts w:ascii="宋体" w:eastAsia="宋体" w:hAnsi="宋体" w:cs="宋体"/>
                <w:sz w:val="18"/>
                <w:szCs w:val="18"/>
              </w:rPr>
              <w:t>期末数</w:t>
            </w:r>
          </w:p>
        </w:tc>
      </w:tr>
      <w:tr w:rsidR="00BD1BB9" w:rsidRPr="0002661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452DEF">
            <w:pPr>
              <w:spacing w:before="40" w:after="40" w:line="240" w:lineRule="exact"/>
              <w:rPr>
                <w:rFonts w:ascii="宋体" w:eastAsia="宋体" w:hAnsi="宋体" w:cs="宋体"/>
                <w:sz w:val="18"/>
                <w:szCs w:val="18"/>
              </w:rPr>
            </w:pPr>
            <w:r w:rsidRPr="00026617">
              <w:rPr>
                <w:rFonts w:ascii="宋体" w:eastAsia="宋体" w:hAnsi="宋体" w:cs="宋体"/>
                <w:sz w:val="18"/>
                <w:szCs w:val="18"/>
              </w:rPr>
              <w:t>金融资产</w:t>
            </w:r>
          </w:p>
        </w:tc>
        <w:tc>
          <w:tcPr>
            <w:tcW w:w="8568"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BD1BB9"/>
        </w:tc>
      </w:tr>
      <w:tr w:rsidR="00BD1BB9" w:rsidRPr="0002661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452DEF">
            <w:pPr>
              <w:spacing w:before="40" w:after="40" w:line="240" w:lineRule="exact"/>
              <w:rPr>
                <w:rFonts w:ascii="宋体" w:eastAsia="宋体" w:hAnsi="宋体" w:cs="宋体"/>
                <w:sz w:val="18"/>
                <w:szCs w:val="18"/>
              </w:rPr>
            </w:pPr>
            <w:r w:rsidRPr="00026617">
              <w:rPr>
                <w:rFonts w:ascii="宋体" w:eastAsia="宋体" w:hAnsi="宋体" w:cs="宋体"/>
                <w:sz w:val="18"/>
                <w:szCs w:val="18"/>
              </w:rPr>
              <w:t>1.交易性金融资产（不含衍生金融资产）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452DEF">
            <w:pPr>
              <w:spacing w:line="240" w:lineRule="exact"/>
              <w:jc w:val="right"/>
              <w:rPr>
                <w:rFonts w:ascii="宋体" w:eastAsia="宋体" w:hAnsi="宋体" w:cs="宋体"/>
                <w:sz w:val="18"/>
                <w:szCs w:val="18"/>
              </w:rPr>
            </w:pPr>
            <w:r w:rsidRPr="00026617">
              <w:rPr>
                <w:rFonts w:ascii="宋体" w:eastAsia="宋体" w:hAnsi="宋体" w:cs="宋体"/>
                <w:sz w:val="18"/>
                <w:szCs w:val="18"/>
              </w:rPr>
              <w:t>237,226,414.51</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0C4FA4">
            <w:pPr>
              <w:spacing w:line="240" w:lineRule="exact"/>
              <w:jc w:val="right"/>
              <w:rPr>
                <w:rFonts w:ascii="宋体" w:eastAsia="宋体" w:hAnsi="宋体" w:cs="宋体"/>
                <w:sz w:val="18"/>
                <w:szCs w:val="18"/>
              </w:rPr>
            </w:pPr>
            <w:r>
              <w:rPr>
                <w:rFonts w:ascii="宋体" w:eastAsia="宋体" w:hAnsi="宋体" w:cs="宋体" w:hint="eastAsia"/>
                <w:sz w:val="18"/>
                <w:szCs w:val="18"/>
              </w:rPr>
              <w:t>3,007,015.39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452DEF">
            <w:pPr>
              <w:spacing w:line="240" w:lineRule="exact"/>
              <w:jc w:val="right"/>
              <w:rPr>
                <w:rFonts w:ascii="宋体" w:eastAsia="宋体" w:hAnsi="宋体" w:cs="宋体"/>
                <w:sz w:val="18"/>
                <w:szCs w:val="18"/>
              </w:rPr>
            </w:pPr>
            <w:r w:rsidRPr="00026617">
              <w:rPr>
                <w:rFonts w:ascii="宋体" w:eastAsia="宋体" w:hAnsi="宋体" w:cs="宋体"/>
                <w:sz w:val="18"/>
                <w:szCs w:val="18"/>
              </w:rPr>
              <w:t>240,218,854.85</w:t>
            </w:r>
          </w:p>
        </w:tc>
      </w:tr>
      <w:tr w:rsidR="00BD1BB9" w:rsidRPr="0002661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Pr="00026617" w:rsidRDefault="00452DEF">
            <w:pPr>
              <w:spacing w:before="40" w:after="40" w:line="240" w:lineRule="exact"/>
              <w:rPr>
                <w:rFonts w:ascii="宋体" w:eastAsia="宋体" w:hAnsi="宋体" w:cs="宋体"/>
                <w:sz w:val="18"/>
                <w:szCs w:val="18"/>
              </w:rPr>
            </w:pPr>
            <w:r w:rsidRPr="00026617">
              <w:rPr>
                <w:rFonts w:ascii="宋体" w:eastAsia="宋体" w:hAnsi="宋体" w:cs="宋体"/>
                <w:sz w:val="18"/>
                <w:szCs w:val="18"/>
              </w:rPr>
              <w:t>2.衍生金融资产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452DEF">
            <w:pPr>
              <w:spacing w:line="240" w:lineRule="exact"/>
              <w:jc w:val="right"/>
              <w:rPr>
                <w:rFonts w:ascii="宋体" w:eastAsia="宋体" w:hAnsi="宋体" w:cs="宋体"/>
                <w:sz w:val="18"/>
                <w:szCs w:val="18"/>
              </w:rPr>
            </w:pPr>
            <w:r w:rsidRPr="00026617">
              <w:rPr>
                <w:rFonts w:ascii="宋体" w:eastAsia="宋体" w:hAnsi="宋体" w:cs="宋体"/>
                <w:sz w:val="18"/>
                <w:szCs w:val="18"/>
              </w:rPr>
              <w:t>26,215.00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452DEF">
            <w:pPr>
              <w:spacing w:line="240" w:lineRule="exact"/>
              <w:jc w:val="right"/>
              <w:rPr>
                <w:rFonts w:ascii="宋体" w:eastAsia="宋体" w:hAnsi="宋体" w:cs="宋体"/>
                <w:sz w:val="18"/>
                <w:szCs w:val="18"/>
              </w:rPr>
            </w:pPr>
            <w:r w:rsidRPr="00026617">
              <w:rPr>
                <w:rFonts w:ascii="宋体" w:eastAsia="宋体" w:hAnsi="宋体" w:cs="宋体"/>
                <w:sz w:val="18"/>
                <w:szCs w:val="18"/>
              </w:rPr>
              <w:t>0.00</w:t>
            </w:r>
          </w:p>
        </w:tc>
      </w:tr>
      <w:tr w:rsidR="00BD1BB9" w:rsidRPr="0002661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452DEF">
            <w:pPr>
              <w:spacing w:line="240" w:lineRule="exact"/>
              <w:rPr>
                <w:rFonts w:ascii="宋体" w:eastAsia="宋体" w:hAnsi="宋体" w:cs="宋体"/>
                <w:sz w:val="18"/>
                <w:szCs w:val="18"/>
              </w:rPr>
            </w:pPr>
            <w:r w:rsidRPr="00026617">
              <w:rPr>
                <w:rFonts w:ascii="宋体" w:eastAsia="宋体" w:hAnsi="宋体" w:cs="宋体"/>
                <w:sz w:val="18"/>
                <w:szCs w:val="18"/>
              </w:rPr>
              <w:lastRenderedPageBreak/>
              <w:t>3.应收款项融资</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452DEF">
            <w:pPr>
              <w:spacing w:line="240" w:lineRule="exact"/>
              <w:jc w:val="right"/>
              <w:rPr>
                <w:rFonts w:ascii="宋体" w:eastAsia="宋体" w:hAnsi="宋体" w:cs="宋体"/>
                <w:sz w:val="18"/>
                <w:szCs w:val="18"/>
              </w:rPr>
            </w:pPr>
            <w:r w:rsidRPr="00026617">
              <w:rPr>
                <w:rFonts w:ascii="宋体" w:eastAsia="宋体" w:hAnsi="宋体" w:cs="宋体"/>
                <w:sz w:val="18"/>
                <w:szCs w:val="18"/>
              </w:rPr>
              <w:t>200,883,796.09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452DEF">
            <w:pPr>
              <w:spacing w:line="240" w:lineRule="exact"/>
              <w:jc w:val="right"/>
              <w:rPr>
                <w:rFonts w:ascii="宋体" w:eastAsia="宋体" w:hAnsi="宋体" w:cs="宋体"/>
                <w:sz w:val="18"/>
                <w:szCs w:val="18"/>
              </w:rPr>
            </w:pPr>
            <w:r w:rsidRPr="00026617">
              <w:rPr>
                <w:rFonts w:ascii="宋体" w:eastAsia="宋体" w:hAnsi="宋体" w:cs="宋体"/>
                <w:sz w:val="18"/>
                <w:szCs w:val="18"/>
              </w:rPr>
              <w:t>297,458,296.75</w:t>
            </w:r>
          </w:p>
        </w:tc>
      </w:tr>
      <w:tr w:rsidR="00BD1BB9" w:rsidRPr="0002661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452DEF">
            <w:pPr>
              <w:spacing w:line="240" w:lineRule="exact"/>
              <w:rPr>
                <w:rFonts w:ascii="宋体" w:eastAsia="宋体" w:hAnsi="宋体" w:cs="宋体"/>
                <w:sz w:val="18"/>
                <w:szCs w:val="18"/>
              </w:rPr>
            </w:pPr>
            <w:r w:rsidRPr="00026617">
              <w:rPr>
                <w:rFonts w:ascii="宋体" w:eastAsia="宋体" w:hAnsi="宋体" w:cs="宋体"/>
                <w:sz w:val="18"/>
                <w:szCs w:val="18"/>
              </w:rPr>
              <w:t>4.其他非流动金融资产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452DEF">
            <w:pPr>
              <w:spacing w:line="240" w:lineRule="exact"/>
              <w:jc w:val="right"/>
              <w:rPr>
                <w:rFonts w:ascii="宋体" w:eastAsia="宋体" w:hAnsi="宋体" w:cs="宋体"/>
                <w:sz w:val="18"/>
                <w:szCs w:val="18"/>
              </w:rPr>
            </w:pPr>
            <w:r w:rsidRPr="00026617">
              <w:rPr>
                <w:rFonts w:ascii="宋体" w:eastAsia="宋体" w:hAnsi="宋体" w:cs="宋体"/>
                <w:sz w:val="18"/>
                <w:szCs w:val="18"/>
              </w:rPr>
              <w:t>841,950,369.04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Pr="00026617" w:rsidRDefault="00452DEF">
            <w:pPr>
              <w:spacing w:line="240" w:lineRule="exact"/>
              <w:jc w:val="right"/>
              <w:rPr>
                <w:rFonts w:ascii="宋体" w:eastAsia="宋体" w:hAnsi="宋体" w:cs="宋体"/>
                <w:sz w:val="18"/>
                <w:szCs w:val="18"/>
              </w:rPr>
            </w:pPr>
            <w:r w:rsidRPr="00026617">
              <w:rPr>
                <w:rFonts w:ascii="宋体" w:eastAsia="宋体" w:hAnsi="宋体" w:cs="宋体"/>
                <w:sz w:val="18"/>
                <w:szCs w:val="18"/>
              </w:rPr>
              <w:t>841,950,369.04</w:t>
            </w:r>
          </w:p>
        </w:tc>
      </w:tr>
      <w:tr w:rsidR="005935B9" w:rsidRPr="0002661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5935B9" w:rsidRPr="00026617" w:rsidRDefault="005935B9">
            <w:pPr>
              <w:spacing w:before="40" w:after="40" w:line="240" w:lineRule="exact"/>
              <w:rPr>
                <w:rFonts w:ascii="宋体" w:eastAsia="宋体" w:hAnsi="宋体" w:cs="宋体"/>
                <w:sz w:val="18"/>
                <w:szCs w:val="18"/>
              </w:rPr>
            </w:pPr>
            <w:r w:rsidRPr="00026617">
              <w:rPr>
                <w:rFonts w:ascii="宋体" w:eastAsia="宋体" w:hAnsi="宋体"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r w:rsidRPr="00026617">
              <w:rPr>
                <w:rFonts w:ascii="宋体" w:eastAsia="宋体" w:hAnsi="宋体" w:cs="宋体"/>
                <w:sz w:val="18"/>
                <w:szCs w:val="18"/>
              </w:rPr>
              <w:t>1,280,086,794.64</w:t>
            </w: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rsidP="005935B9">
            <w:pPr>
              <w:spacing w:line="240" w:lineRule="exact"/>
              <w:jc w:val="right"/>
              <w:rPr>
                <w:rFonts w:ascii="宋体" w:eastAsia="宋体" w:hAnsi="宋体" w:cs="宋体"/>
                <w:sz w:val="18"/>
                <w:szCs w:val="18"/>
              </w:rPr>
            </w:pPr>
            <w:r>
              <w:rPr>
                <w:rFonts w:ascii="宋体" w:eastAsia="宋体" w:hAnsi="宋体" w:cs="宋体" w:hint="eastAsia"/>
                <w:sz w:val="18"/>
                <w:szCs w:val="18"/>
              </w:rPr>
              <w:t>3,007,015.39</w:t>
            </w: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r w:rsidRPr="00026617">
              <w:rPr>
                <w:rFonts w:ascii="宋体" w:eastAsia="宋体" w:hAnsi="宋体" w:cs="宋体"/>
                <w:sz w:val="18"/>
                <w:szCs w:val="18"/>
              </w:rPr>
              <w:t>1,379,627,520.64</w:t>
            </w:r>
          </w:p>
        </w:tc>
      </w:tr>
      <w:tr w:rsidR="005935B9" w:rsidRPr="0002661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5935B9" w:rsidRPr="00026617" w:rsidRDefault="005935B9">
            <w:pPr>
              <w:spacing w:before="40" w:after="40" w:line="240" w:lineRule="exact"/>
              <w:rPr>
                <w:rFonts w:ascii="宋体" w:eastAsia="宋体" w:hAnsi="宋体" w:cs="宋体"/>
                <w:sz w:val="18"/>
                <w:szCs w:val="18"/>
              </w:rPr>
            </w:pPr>
            <w:r w:rsidRPr="00026617">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r w:rsidRPr="00026617">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935B9" w:rsidRPr="00026617" w:rsidRDefault="005935B9">
            <w:pPr>
              <w:spacing w:line="240" w:lineRule="exact"/>
              <w:jc w:val="right"/>
              <w:rPr>
                <w:rFonts w:ascii="宋体" w:eastAsia="宋体" w:hAnsi="宋体" w:cs="宋体"/>
                <w:sz w:val="18"/>
                <w:szCs w:val="18"/>
              </w:rPr>
            </w:pPr>
            <w:r w:rsidRPr="00026617">
              <w:rPr>
                <w:rFonts w:ascii="宋体" w:eastAsia="宋体" w:hAnsi="宋体" w:cs="宋体"/>
                <w:sz w:val="18"/>
                <w:szCs w:val="18"/>
              </w:rPr>
              <w:t>0.00</w:t>
            </w:r>
          </w:p>
        </w:tc>
      </w:tr>
    </w:tbl>
    <w:p w:rsidR="002E50D3" w:rsidRDefault="002E50D3">
      <w:pPr>
        <w:spacing w:before="100" w:after="100" w:line="240" w:lineRule="exact"/>
        <w:rPr>
          <w:rFonts w:ascii="宋体" w:eastAsia="宋体" w:hAnsi="宋体" w:cs="宋体"/>
          <w:sz w:val="18"/>
          <w:szCs w:val="18"/>
        </w:rPr>
      </w:pPr>
    </w:p>
    <w:p w:rsidR="00BD1BB9" w:rsidRPr="00026617" w:rsidRDefault="00452DEF">
      <w:pPr>
        <w:spacing w:before="100" w:after="100" w:line="240" w:lineRule="exact"/>
        <w:rPr>
          <w:rFonts w:ascii="宋体" w:eastAsia="宋体" w:hAnsi="宋体" w:cs="宋体"/>
          <w:sz w:val="18"/>
          <w:szCs w:val="18"/>
        </w:rPr>
      </w:pPr>
      <w:r w:rsidRPr="00026617">
        <w:rPr>
          <w:rFonts w:ascii="宋体" w:eastAsia="宋体" w:hAnsi="宋体" w:cs="宋体"/>
          <w:sz w:val="18"/>
          <w:szCs w:val="18"/>
        </w:rPr>
        <w:t>报告期内公司主要资产计量属性是否发生重大变化</w:t>
      </w:r>
    </w:p>
    <w:p w:rsidR="00BD1BB9" w:rsidRPr="00026617" w:rsidRDefault="00452DEF">
      <w:pPr>
        <w:spacing w:before="40" w:after="40" w:line="240" w:lineRule="exact"/>
        <w:rPr>
          <w:rFonts w:ascii="宋体" w:eastAsia="宋体" w:hAnsi="宋体" w:cs="宋体"/>
          <w:sz w:val="18"/>
          <w:szCs w:val="18"/>
        </w:rPr>
      </w:pPr>
      <w:r w:rsidRPr="00026617">
        <w:rPr>
          <w:rFonts w:ascii="宋体" w:eastAsia="宋体" w:hAnsi="宋体" w:cs="宋体"/>
          <w:sz w:val="18"/>
          <w:szCs w:val="18"/>
        </w:rPr>
        <w:t xml:space="preserve">□是 </w:t>
      </w:r>
      <w:r w:rsidRPr="00026617">
        <w:rPr>
          <w:rFonts w:ascii="宋体" w:eastAsia="宋体" w:hAnsi="宋体" w:cs="宋体"/>
          <w:sz w:val="18"/>
          <w:szCs w:val="18"/>
        </w:rPr>
        <w:sym w:font="Wingdings 2" w:char="F052"/>
      </w:r>
      <w:r w:rsidRPr="00026617">
        <w:rPr>
          <w:rFonts w:ascii="宋体" w:eastAsia="宋体" w:hAnsi="宋体" w:cs="宋体"/>
          <w:sz w:val="18"/>
          <w:szCs w:val="18"/>
        </w:rPr>
        <w:t>否</w:t>
      </w:r>
    </w:p>
    <w:p w:rsidR="00BD1BB9" w:rsidRDefault="00452DEF">
      <w:pPr>
        <w:pStyle w:val="3"/>
        <w:spacing w:line="280" w:lineRule="exact"/>
        <w:jc w:val="left"/>
        <w:rPr>
          <w:rFonts w:ascii="宋体" w:hAnsi="宋体" w:cs="宋体"/>
          <w:b/>
          <w:bCs/>
        </w:rPr>
      </w:pPr>
      <w:bookmarkStart w:id="31" w:name="_Toc988911"/>
      <w:r>
        <w:rPr>
          <w:rFonts w:ascii="宋体" w:hAnsi="宋体" w:cs="宋体"/>
          <w:b/>
          <w:bCs/>
        </w:rPr>
        <w:t>4、截至报告期末的资产权利受限情况</w:t>
      </w:r>
      <w:bookmarkEnd w:id="31"/>
    </w:p>
    <w:p w:rsidR="004A3B7E" w:rsidRDefault="00452DEF" w:rsidP="00F8078C">
      <w:pPr>
        <w:pStyle w:val="a3"/>
        <w:adjustRightInd w:val="0"/>
        <w:snapToGrid w:val="0"/>
        <w:spacing w:before="0" w:beforeAutospacing="0" w:after="0" w:afterAutospacing="0"/>
        <w:divId w:val="1845975153"/>
        <w:rPr>
          <w:sz w:val="18"/>
          <w:szCs w:val="18"/>
        </w:rPr>
      </w:pPr>
      <w:r>
        <w:rPr>
          <w:rFonts w:hint="eastAsia"/>
          <w:sz w:val="18"/>
          <w:szCs w:val="18"/>
        </w:rPr>
        <w:t>                                                               单位：元</w:t>
      </w:r>
    </w:p>
    <w:tbl>
      <w:tblPr>
        <w:tblW w:w="9621" w:type="dxa"/>
        <w:jc w:val="center"/>
        <w:tblInd w:w="-897" w:type="dxa"/>
        <w:tblCellMar>
          <w:left w:w="0" w:type="dxa"/>
          <w:right w:w="0" w:type="dxa"/>
        </w:tblCellMar>
        <w:tblLook w:val="04A0" w:firstRow="1" w:lastRow="0" w:firstColumn="1" w:lastColumn="0" w:noHBand="0" w:noVBand="1"/>
      </w:tblPr>
      <w:tblGrid>
        <w:gridCol w:w="2620"/>
        <w:gridCol w:w="1541"/>
        <w:gridCol w:w="5460"/>
      </w:tblGrid>
      <w:tr w:rsidR="004A3B7E" w:rsidTr="00F8078C">
        <w:trPr>
          <w:divId w:val="1845975153"/>
          <w:trHeight w:val="360"/>
          <w:tblHeader/>
          <w:jc w:val="center"/>
        </w:trPr>
        <w:tc>
          <w:tcPr>
            <w:tcW w:w="262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54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期末账面价值</w:t>
            </w:r>
          </w:p>
        </w:tc>
        <w:tc>
          <w:tcPr>
            <w:tcW w:w="546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受限原因</w:t>
            </w:r>
          </w:p>
        </w:tc>
      </w:tr>
      <w:tr w:rsidR="004A3B7E" w:rsidTr="00F8078C">
        <w:trPr>
          <w:divId w:val="1845975153"/>
          <w:trHeight w:val="360"/>
          <w:jc w:val="center"/>
        </w:trPr>
        <w:tc>
          <w:tcPr>
            <w:tcW w:w="2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货币资金</w:t>
            </w:r>
          </w:p>
        </w:tc>
        <w:tc>
          <w:tcPr>
            <w:tcW w:w="15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299,315,871.55</w:t>
            </w:r>
          </w:p>
        </w:tc>
        <w:tc>
          <w:tcPr>
            <w:tcW w:w="5460"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借款保证金、国际信用证保证金、质押的定期存款及利息</w:t>
            </w:r>
          </w:p>
        </w:tc>
      </w:tr>
      <w:tr w:rsidR="004A3B7E" w:rsidTr="00F8078C">
        <w:trPr>
          <w:divId w:val="1845975153"/>
          <w:trHeight w:val="360"/>
          <w:jc w:val="center"/>
        </w:trPr>
        <w:tc>
          <w:tcPr>
            <w:tcW w:w="2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应收票据</w:t>
            </w:r>
          </w:p>
        </w:tc>
        <w:tc>
          <w:tcPr>
            <w:tcW w:w="15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13,873,400.00</w:t>
            </w:r>
          </w:p>
        </w:tc>
        <w:tc>
          <w:tcPr>
            <w:tcW w:w="5460"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票据质押</w:t>
            </w:r>
          </w:p>
        </w:tc>
      </w:tr>
      <w:tr w:rsidR="004A3B7E" w:rsidTr="00F8078C">
        <w:trPr>
          <w:divId w:val="1845975153"/>
          <w:trHeight w:val="360"/>
          <w:jc w:val="center"/>
        </w:trPr>
        <w:tc>
          <w:tcPr>
            <w:tcW w:w="2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应收款项融资</w:t>
            </w:r>
          </w:p>
        </w:tc>
        <w:tc>
          <w:tcPr>
            <w:tcW w:w="15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86,220,071.80</w:t>
            </w:r>
          </w:p>
        </w:tc>
        <w:tc>
          <w:tcPr>
            <w:tcW w:w="5460"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票据质押</w:t>
            </w:r>
          </w:p>
        </w:tc>
      </w:tr>
      <w:tr w:rsidR="004A3B7E" w:rsidTr="00F8078C">
        <w:trPr>
          <w:divId w:val="1845975153"/>
          <w:trHeight w:val="360"/>
          <w:jc w:val="center"/>
        </w:trPr>
        <w:tc>
          <w:tcPr>
            <w:tcW w:w="2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江阴华西化工码头有限公司75%股权</w:t>
            </w:r>
          </w:p>
        </w:tc>
        <w:tc>
          <w:tcPr>
            <w:tcW w:w="15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361,223,582.33</w:t>
            </w:r>
          </w:p>
        </w:tc>
        <w:tc>
          <w:tcPr>
            <w:tcW w:w="5460"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中国工商银行借款4,000.00万元由江苏华西集团有限公司提供担保及公司持有的江阴华西化工码头有限公司75%股权质押</w:t>
            </w:r>
          </w:p>
        </w:tc>
      </w:tr>
      <w:tr w:rsidR="004A3B7E" w:rsidTr="00F8078C">
        <w:trPr>
          <w:divId w:val="1845975153"/>
          <w:trHeight w:val="360"/>
          <w:jc w:val="center"/>
        </w:trPr>
        <w:tc>
          <w:tcPr>
            <w:tcW w:w="2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  计</w:t>
            </w:r>
          </w:p>
        </w:tc>
        <w:tc>
          <w:tcPr>
            <w:tcW w:w="15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760,632,925.68</w:t>
            </w:r>
          </w:p>
        </w:tc>
        <w:tc>
          <w:tcPr>
            <w:tcW w:w="54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rsidP="00612F73">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w:t>
            </w:r>
          </w:p>
        </w:tc>
      </w:tr>
    </w:tbl>
    <w:p w:rsidR="00BD1BB9" w:rsidRDefault="00452DEF">
      <w:pPr>
        <w:pStyle w:val="2"/>
        <w:spacing w:before="300" w:after="300" w:line="320" w:lineRule="exact"/>
        <w:rPr>
          <w:rFonts w:ascii="宋体" w:eastAsia="宋体" w:hAnsi="宋体" w:cs="宋体"/>
          <w:b/>
          <w:bCs/>
          <w:sz w:val="24"/>
          <w:szCs w:val="24"/>
        </w:rPr>
      </w:pPr>
      <w:bookmarkStart w:id="32" w:name="_Toc988912"/>
      <w:r>
        <w:rPr>
          <w:rFonts w:ascii="宋体" w:eastAsia="宋体" w:hAnsi="宋体" w:cs="宋体"/>
          <w:b/>
          <w:bCs/>
          <w:sz w:val="24"/>
          <w:szCs w:val="24"/>
        </w:rPr>
        <w:t>六、投资状况分析</w:t>
      </w:r>
      <w:bookmarkEnd w:id="32"/>
    </w:p>
    <w:p w:rsidR="00BD1BB9" w:rsidRDefault="00452DEF">
      <w:pPr>
        <w:pStyle w:val="3"/>
        <w:spacing w:line="280" w:lineRule="exact"/>
        <w:jc w:val="left"/>
        <w:rPr>
          <w:rFonts w:ascii="宋体" w:hAnsi="宋体" w:cs="宋体"/>
          <w:b/>
          <w:bCs/>
        </w:rPr>
      </w:pPr>
      <w:bookmarkStart w:id="33" w:name="_Toc988913"/>
      <w:r>
        <w:rPr>
          <w:rFonts w:ascii="宋体" w:hAnsi="宋体" w:cs="宋体"/>
          <w:b/>
          <w:bCs/>
        </w:rPr>
        <w:t>1、总体情况</w:t>
      </w:r>
      <w:bookmarkEnd w:id="33"/>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变动幅度</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12,023,549.16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226,809,621.61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-94.70%</w:t>
            </w:r>
          </w:p>
        </w:tc>
      </w:tr>
    </w:tbl>
    <w:p w:rsidR="00BD1BB9" w:rsidRDefault="00452DEF">
      <w:pPr>
        <w:pStyle w:val="3"/>
        <w:spacing w:line="280" w:lineRule="exact"/>
        <w:jc w:val="left"/>
        <w:rPr>
          <w:rFonts w:ascii="宋体" w:hAnsi="宋体" w:cs="宋体"/>
          <w:b/>
          <w:bCs/>
        </w:rPr>
      </w:pPr>
      <w:bookmarkStart w:id="34" w:name="_Toc988914"/>
      <w:r>
        <w:rPr>
          <w:rFonts w:ascii="宋体" w:hAnsi="宋体" w:cs="宋体"/>
          <w:b/>
          <w:bCs/>
        </w:rPr>
        <w:t>2、报告期内获取的重大的股权投资情况</w:t>
      </w:r>
      <w:bookmarkEnd w:id="34"/>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3"/>
        <w:spacing w:line="280" w:lineRule="exact"/>
        <w:jc w:val="left"/>
        <w:rPr>
          <w:rFonts w:ascii="宋体" w:hAnsi="宋体" w:cs="宋体"/>
          <w:b/>
          <w:bCs/>
        </w:rPr>
      </w:pPr>
      <w:bookmarkStart w:id="35" w:name="_Toc988915"/>
      <w:r>
        <w:rPr>
          <w:rFonts w:ascii="宋体" w:hAnsi="宋体" w:cs="宋体"/>
          <w:b/>
          <w:bCs/>
        </w:rPr>
        <w:t>3、报告期内正在进行的重大的非股权投资情况</w:t>
      </w:r>
      <w:bookmarkEnd w:id="35"/>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3"/>
        <w:spacing w:line="280" w:lineRule="exact"/>
        <w:jc w:val="left"/>
        <w:rPr>
          <w:rFonts w:ascii="宋体" w:hAnsi="宋体" w:cs="宋体"/>
          <w:b/>
          <w:bCs/>
        </w:rPr>
      </w:pPr>
      <w:bookmarkStart w:id="36" w:name="_Toc988916"/>
      <w:r>
        <w:rPr>
          <w:rFonts w:ascii="宋体" w:hAnsi="宋体" w:cs="宋体"/>
          <w:b/>
          <w:bCs/>
        </w:rPr>
        <w:t>4、金融资产投资</w:t>
      </w:r>
      <w:bookmarkEnd w:id="36"/>
    </w:p>
    <w:p w:rsidR="00BD1BB9" w:rsidRDefault="00452DEF">
      <w:pPr>
        <w:keepNext/>
        <w:keepLines/>
        <w:spacing w:before="300" w:after="300" w:line="280" w:lineRule="exact"/>
        <w:outlineLvl w:val="3"/>
        <w:rPr>
          <w:rFonts w:ascii="宋体" w:eastAsia="宋体" w:hAnsi="宋体" w:cs="宋体"/>
          <w:b/>
          <w:bCs/>
          <w:sz w:val="18"/>
          <w:szCs w:val="18"/>
        </w:rPr>
      </w:pPr>
      <w:bookmarkStart w:id="37" w:name="_Toc988917"/>
      <w:r>
        <w:rPr>
          <w:rFonts w:ascii="宋体" w:eastAsia="宋体" w:hAnsi="宋体" w:cs="宋体"/>
          <w:b/>
          <w:bCs/>
          <w:sz w:val="18"/>
          <w:szCs w:val="18"/>
        </w:rPr>
        <w:t>（1） 证券投资情况</w:t>
      </w:r>
      <w:bookmarkEnd w:id="37"/>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89"/>
        <w:gridCol w:w="689"/>
        <w:gridCol w:w="689"/>
        <w:gridCol w:w="689"/>
        <w:gridCol w:w="689"/>
        <w:gridCol w:w="689"/>
        <w:gridCol w:w="689"/>
        <w:gridCol w:w="688"/>
        <w:gridCol w:w="688"/>
        <w:gridCol w:w="688"/>
        <w:gridCol w:w="688"/>
        <w:gridCol w:w="688"/>
        <w:gridCol w:w="688"/>
        <w:gridCol w:w="688"/>
      </w:tblGrid>
      <w:tr w:rsidR="00BD1BB9">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证券品种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证券代码</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证券简称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最初投资成本</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会计计量模式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会计核算科目</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BD1BB9">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601688</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华泰证券</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57,505,096.16</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225,152,000.00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2,816,000.00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Pr="000C4FA4" w:rsidRDefault="00452DEF">
            <w:pPr>
              <w:spacing w:line="240" w:lineRule="exact"/>
              <w:jc w:val="right"/>
              <w:rPr>
                <w:rFonts w:ascii="宋体" w:eastAsia="宋体" w:hAnsi="宋体" w:cs="宋体"/>
                <w:sz w:val="18"/>
                <w:szCs w:val="18"/>
              </w:rPr>
            </w:pPr>
            <w:r w:rsidRPr="000C4FA4">
              <w:rPr>
                <w:rFonts w:ascii="宋体" w:eastAsia="宋体" w:hAnsi="宋体" w:cs="宋体"/>
                <w:sz w:val="18"/>
                <w:szCs w:val="18"/>
              </w:rPr>
              <w:t>2,816,000.00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227,968,000.00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自有资金</w:t>
            </w:r>
          </w:p>
        </w:tc>
      </w:tr>
      <w:tr w:rsidR="00BD1BB9">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57,505,096.16</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225,152,000.00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2,816,000.00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Pr="000C4FA4" w:rsidRDefault="00452DEF">
            <w:pPr>
              <w:spacing w:line="240" w:lineRule="exact"/>
              <w:jc w:val="right"/>
              <w:rPr>
                <w:rFonts w:ascii="宋体" w:eastAsia="宋体" w:hAnsi="宋体" w:cs="宋体"/>
                <w:sz w:val="18"/>
                <w:szCs w:val="18"/>
              </w:rPr>
            </w:pPr>
            <w:r w:rsidRPr="000C4FA4">
              <w:rPr>
                <w:rFonts w:ascii="宋体" w:eastAsia="宋体" w:hAnsi="宋体" w:cs="宋体"/>
                <w:sz w:val="18"/>
                <w:szCs w:val="18"/>
              </w:rPr>
              <w:t>2,816,000.00</w:t>
            </w:r>
          </w:p>
        </w:tc>
        <w:tc>
          <w:tcPr>
            <w:tcW w:w="689"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227,968,000.00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D1BB9" w:rsidRDefault="00452DEF">
      <w:pPr>
        <w:keepNext/>
        <w:keepLines/>
        <w:spacing w:before="300" w:after="300" w:line="280" w:lineRule="exact"/>
        <w:outlineLvl w:val="3"/>
        <w:rPr>
          <w:rFonts w:ascii="宋体" w:eastAsia="宋体" w:hAnsi="宋体" w:cs="宋体"/>
          <w:b/>
          <w:bCs/>
          <w:sz w:val="18"/>
          <w:szCs w:val="18"/>
        </w:rPr>
      </w:pPr>
      <w:bookmarkStart w:id="38" w:name="_Toc988918"/>
      <w:r>
        <w:rPr>
          <w:rFonts w:ascii="宋体" w:eastAsia="宋体" w:hAnsi="宋体" w:cs="宋体"/>
          <w:b/>
          <w:bCs/>
          <w:sz w:val="18"/>
          <w:szCs w:val="18"/>
        </w:rPr>
        <w:t>（2） 衍生品投资情况</w:t>
      </w:r>
      <w:bookmarkEnd w:id="38"/>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keepNext/>
        <w:keepLines/>
        <w:spacing w:before="300" w:after="300" w:line="280" w:lineRule="exact"/>
        <w:outlineLvl w:val="4"/>
        <w:rPr>
          <w:rFonts w:ascii="宋体" w:eastAsia="宋体" w:hAnsi="宋体" w:cs="宋体"/>
          <w:b/>
          <w:bCs/>
          <w:sz w:val="18"/>
          <w:szCs w:val="18"/>
        </w:rPr>
      </w:pPr>
      <w:bookmarkStart w:id="39" w:name="_Toc988919"/>
      <w:r>
        <w:rPr>
          <w:rFonts w:ascii="宋体" w:eastAsia="宋体" w:hAnsi="宋体" w:cs="宋体"/>
          <w:b/>
          <w:bCs/>
          <w:sz w:val="18"/>
          <w:szCs w:val="18"/>
        </w:rPr>
        <w:t>1） 报告期内以套期保值为目的的衍生品投资</w:t>
      </w:r>
      <w:bookmarkEnd w:id="39"/>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84"/>
        <w:gridCol w:w="758"/>
        <w:gridCol w:w="1071"/>
        <w:gridCol w:w="1071"/>
        <w:gridCol w:w="1071"/>
        <w:gridCol w:w="1071"/>
        <w:gridCol w:w="1071"/>
        <w:gridCol w:w="1071"/>
        <w:gridCol w:w="1071"/>
      </w:tblGrid>
      <w:tr w:rsidR="00BD1BB9" w:rsidTr="006007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衍生品投资类型</w:t>
            </w:r>
          </w:p>
        </w:tc>
        <w:tc>
          <w:tcPr>
            <w:tcW w:w="75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初始投资金额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报告期内购入金额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报告期内售出金额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期末投资金额占公司报告期末净资产比例</w:t>
            </w:r>
          </w:p>
        </w:tc>
      </w:tr>
      <w:tr w:rsidR="00BD1BB9" w:rsidTr="00600733">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商品衍生品</w:t>
            </w:r>
          </w:p>
        </w:tc>
        <w:tc>
          <w:tcPr>
            <w:tcW w:w="75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2.62</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208,886.29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208,757.53</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rsidTr="006007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5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2.62</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208,886.29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208,757.53</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rsidTr="006007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报告期内套期保值业务的会计政策、会计核算具体原则，以及与上一报告期相比是否发生重大变化的说明</w:t>
            </w:r>
          </w:p>
        </w:tc>
        <w:tc>
          <w:tcPr>
            <w:tcW w:w="8255"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报告期公司套期保值业务的会计政策、会计核算原则与上一报告期相比没有发生重大变化。</w:t>
            </w:r>
          </w:p>
        </w:tc>
      </w:tr>
      <w:tr w:rsidR="00BD1BB9" w:rsidTr="006007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报告期实际损益情况的说明</w:t>
            </w:r>
          </w:p>
        </w:tc>
        <w:tc>
          <w:tcPr>
            <w:tcW w:w="8255"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公司开展商品套期保值业务，以公司主要原材料和产品等为交易品种，本报告期合计亏损130.58万元。</w:t>
            </w:r>
          </w:p>
        </w:tc>
      </w:tr>
      <w:tr w:rsidR="00BD1BB9" w:rsidTr="006007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套期保值效果的说明</w:t>
            </w:r>
          </w:p>
        </w:tc>
        <w:tc>
          <w:tcPr>
            <w:tcW w:w="8255"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公司通过期货套期保值操作可以更好地规避原料和产品价格波动带来的风险，降低其对公司生产经营的影响，但同时也可能存在市场、流动性、技术及内控等多方面风险。报告期内，公司通过开展期货套期保值业务，并选择信誉度高、运作规范的期货公司开展业务，有效实现对部分原材料采购成本的套保效果，锁定并降低原材料成本，保证预期利润的实现。</w:t>
            </w:r>
          </w:p>
        </w:tc>
      </w:tr>
      <w:tr w:rsidR="00BD1BB9" w:rsidTr="006007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衍生品投资资金来源</w:t>
            </w:r>
          </w:p>
        </w:tc>
        <w:tc>
          <w:tcPr>
            <w:tcW w:w="8255"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自有资金</w:t>
            </w:r>
          </w:p>
        </w:tc>
      </w:tr>
      <w:tr w:rsidR="00BD1BB9" w:rsidTr="006007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报告期衍生品持仓的风险分析及控制措施说明（包括但不限于市场风</w:t>
            </w:r>
            <w:r>
              <w:rPr>
                <w:rFonts w:ascii="宋体" w:eastAsia="宋体" w:hAnsi="宋体" w:cs="宋体"/>
                <w:sz w:val="18"/>
                <w:szCs w:val="18"/>
              </w:rPr>
              <w:lastRenderedPageBreak/>
              <w:t>险、流动性风险、信用风险、操作风险、法律风险等）</w:t>
            </w:r>
          </w:p>
        </w:tc>
        <w:tc>
          <w:tcPr>
            <w:tcW w:w="8255"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lastRenderedPageBreak/>
              <w:t>公司已制订了期货套期保值等相关方案，并对可能出现的价格异常波动风险、流动性风险、操作风险、信用风险及法律风险等进行了充分评估和有效控制；公司建立健全相关内控制度，规范业务操作流程、审批流程，并严格按照审核后的方案操作。</w:t>
            </w:r>
          </w:p>
        </w:tc>
      </w:tr>
      <w:tr w:rsidR="00BD1BB9" w:rsidTr="006007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已投资衍生品报告期内市场价格或产品公允价值变动的情况，对衍生品公允价值的分析应披露具体使用的方法及相关假设与参数的设定</w:t>
            </w:r>
          </w:p>
        </w:tc>
        <w:tc>
          <w:tcPr>
            <w:tcW w:w="8255"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公司开展的商品衍生品交易品种市场透明度大，成交活跃，成交价格和当日结算价能充分反映衍生品的公允价值。</w:t>
            </w:r>
          </w:p>
        </w:tc>
      </w:tr>
      <w:tr w:rsidR="00BD1BB9" w:rsidTr="006007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涉诉情况（如适用）</w:t>
            </w:r>
          </w:p>
        </w:tc>
        <w:tc>
          <w:tcPr>
            <w:tcW w:w="8255"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r>
      <w:tr w:rsidR="00BD1BB9" w:rsidTr="006007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衍生品投资审批董事会公告披露日期（如有)</w:t>
            </w:r>
          </w:p>
        </w:tc>
        <w:tc>
          <w:tcPr>
            <w:tcW w:w="8255"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2025年04月29日</w:t>
            </w:r>
          </w:p>
        </w:tc>
      </w:tr>
      <w:tr w:rsidR="00BD1BB9" w:rsidTr="006007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衍生品投资审批股东会公告披露日期（如有)</w:t>
            </w:r>
          </w:p>
        </w:tc>
        <w:tc>
          <w:tcPr>
            <w:tcW w:w="8255"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2025年05月24日</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4A3B7E" w:rsidRDefault="00452DEF">
      <w:pPr>
        <w:pStyle w:val="a3"/>
        <w:spacing w:before="0" w:beforeAutospacing="0" w:after="0" w:afterAutospacing="0" w:line="276" w:lineRule="auto"/>
        <w:ind w:firstLine="357"/>
        <w:jc w:val="both"/>
        <w:divId w:val="2069722411"/>
      </w:pPr>
      <w:r>
        <w:rPr>
          <w:rFonts w:hint="eastAsia"/>
          <w:color w:val="000000"/>
          <w:sz w:val="18"/>
          <w:szCs w:val="18"/>
        </w:rPr>
        <w:t>公司主要生产产品为涤纶短纤维，年产各类涤纶短纤维50万吨，涤纶短纤维的核心生产原料为精对苯二甲酸和乙二醇。受宏观经济及石油价格等因素的影响，公司产品和原材料价格波动幅度较大，对公司的盈利能力带来较大的影响。为有效规避原材料和产品价格波动带来的风险，降低其对公司生产经营的影响，在不影响公司主营业务正常开展的情况下，公司（含子公司）开展期货和衍生品套期保值业务。</w:t>
      </w:r>
    </w:p>
    <w:p w:rsidR="004A3B7E" w:rsidRDefault="00452DEF">
      <w:pPr>
        <w:pStyle w:val="a3"/>
        <w:spacing w:before="0" w:beforeAutospacing="0" w:after="0" w:afterAutospacing="0" w:line="276" w:lineRule="auto"/>
        <w:ind w:firstLine="357"/>
        <w:jc w:val="both"/>
        <w:divId w:val="2069722411"/>
      </w:pPr>
      <w:r>
        <w:rPr>
          <w:rFonts w:hint="eastAsia"/>
          <w:sz w:val="18"/>
          <w:szCs w:val="18"/>
        </w:rPr>
        <w:t>在业务开展期间，任一时点保证金和权利金上限（含前述投资的收益进行再投资的相关金额，不包括交割当期头寸而支付的全额保证金在内）合计不超过人民币6,000万元，在上述额度内资金可循环使用。</w:t>
      </w:r>
    </w:p>
    <w:p w:rsidR="00BD1BB9" w:rsidRDefault="00452DEF">
      <w:pPr>
        <w:keepNext/>
        <w:keepLines/>
        <w:spacing w:before="300" w:after="300" w:line="280" w:lineRule="exact"/>
        <w:outlineLvl w:val="4"/>
        <w:rPr>
          <w:rFonts w:ascii="宋体" w:eastAsia="宋体" w:hAnsi="宋体" w:cs="宋体"/>
          <w:b/>
          <w:bCs/>
          <w:sz w:val="18"/>
          <w:szCs w:val="18"/>
        </w:rPr>
      </w:pPr>
      <w:bookmarkStart w:id="40" w:name="_Toc988920"/>
      <w:r>
        <w:rPr>
          <w:rFonts w:ascii="宋体" w:eastAsia="宋体" w:hAnsi="宋体" w:cs="宋体"/>
          <w:b/>
          <w:bCs/>
          <w:sz w:val="18"/>
          <w:szCs w:val="18"/>
        </w:rPr>
        <w:t>2） 报告期内以投机为目的的衍生品投资</w:t>
      </w:r>
      <w:bookmarkEnd w:id="40"/>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公司报告期不存在以投机为目的的衍生品投资。</w:t>
      </w:r>
    </w:p>
    <w:p w:rsidR="00BD1BB9" w:rsidRDefault="00452DEF">
      <w:pPr>
        <w:pStyle w:val="3"/>
        <w:spacing w:line="280" w:lineRule="exact"/>
        <w:jc w:val="left"/>
        <w:rPr>
          <w:rFonts w:ascii="宋体" w:hAnsi="宋体" w:cs="宋体"/>
          <w:b/>
          <w:bCs/>
        </w:rPr>
      </w:pPr>
      <w:bookmarkStart w:id="41" w:name="_Toc988921"/>
      <w:r>
        <w:rPr>
          <w:rFonts w:ascii="宋体" w:hAnsi="宋体" w:cs="宋体"/>
          <w:b/>
          <w:bCs/>
        </w:rPr>
        <w:t>5、募集资金使用情况</w:t>
      </w:r>
      <w:bookmarkEnd w:id="41"/>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公司报告期无募集资金使用情况。</w:t>
      </w:r>
    </w:p>
    <w:p w:rsidR="00BD1BB9" w:rsidRDefault="00452DEF">
      <w:pPr>
        <w:pStyle w:val="2"/>
        <w:spacing w:before="300" w:after="300" w:line="320" w:lineRule="exact"/>
        <w:rPr>
          <w:rFonts w:ascii="宋体" w:eastAsia="宋体" w:hAnsi="宋体" w:cs="宋体"/>
          <w:b/>
          <w:bCs/>
          <w:sz w:val="24"/>
          <w:szCs w:val="24"/>
        </w:rPr>
      </w:pPr>
      <w:bookmarkStart w:id="42" w:name="_Toc988922"/>
      <w:r>
        <w:rPr>
          <w:rFonts w:ascii="宋体" w:eastAsia="宋体" w:hAnsi="宋体" w:cs="宋体"/>
          <w:b/>
          <w:bCs/>
          <w:sz w:val="24"/>
          <w:szCs w:val="24"/>
        </w:rPr>
        <w:t>七、重大资产和股权出售</w:t>
      </w:r>
      <w:bookmarkEnd w:id="42"/>
    </w:p>
    <w:p w:rsidR="00BD1BB9" w:rsidRDefault="00452DEF">
      <w:pPr>
        <w:pStyle w:val="3"/>
        <w:spacing w:line="280" w:lineRule="exact"/>
        <w:jc w:val="left"/>
        <w:rPr>
          <w:rFonts w:ascii="宋体" w:hAnsi="宋体" w:cs="宋体"/>
          <w:b/>
          <w:bCs/>
        </w:rPr>
      </w:pPr>
      <w:bookmarkStart w:id="43" w:name="_Toc988923"/>
      <w:r>
        <w:rPr>
          <w:rFonts w:ascii="宋体" w:hAnsi="宋体" w:cs="宋体"/>
          <w:b/>
          <w:bCs/>
        </w:rPr>
        <w:t>1、出售重大资产情况</w:t>
      </w:r>
      <w:bookmarkEnd w:id="43"/>
    </w:p>
    <w:p w:rsidR="001C46CF" w:rsidRDefault="001C46CF" w:rsidP="001C46CF">
      <w:pPr>
        <w:spacing w:before="40" w:after="40" w:line="240" w:lineRule="exact"/>
        <w:rPr>
          <w:rFonts w:ascii="宋体" w:eastAsia="宋体" w:hAnsi="宋体" w:cs="宋体"/>
          <w:sz w:val="18"/>
          <w:szCs w:val="18"/>
        </w:rPr>
      </w:pPr>
      <w:bookmarkStart w:id="44" w:name="_Toc988924"/>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C46CF" w:rsidRDefault="001C46CF" w:rsidP="001C46CF">
      <w:pPr>
        <w:spacing w:before="40" w:after="40" w:line="240" w:lineRule="exact"/>
        <w:rPr>
          <w:rFonts w:ascii="宋体" w:eastAsia="宋体" w:hAnsi="宋体" w:cs="宋体"/>
          <w:sz w:val="18"/>
          <w:szCs w:val="18"/>
        </w:rPr>
      </w:pPr>
      <w:r>
        <w:rPr>
          <w:rFonts w:ascii="宋体" w:eastAsia="宋体" w:hAnsi="宋体" w:cs="宋体" w:hint="eastAsia"/>
          <w:sz w:val="18"/>
          <w:szCs w:val="18"/>
        </w:rPr>
        <w:t>公司报告期未出售重大资产。</w:t>
      </w:r>
    </w:p>
    <w:p w:rsidR="00BD1BB9" w:rsidRDefault="00452DEF">
      <w:pPr>
        <w:pStyle w:val="3"/>
        <w:spacing w:line="280" w:lineRule="exact"/>
        <w:jc w:val="left"/>
        <w:rPr>
          <w:rFonts w:ascii="宋体" w:hAnsi="宋体" w:cs="宋体"/>
          <w:b/>
          <w:bCs/>
        </w:rPr>
      </w:pPr>
      <w:r>
        <w:rPr>
          <w:rFonts w:ascii="宋体" w:hAnsi="宋体" w:cs="宋体"/>
          <w:b/>
          <w:bCs/>
        </w:rPr>
        <w:lastRenderedPageBreak/>
        <w:t>2、出售重大股权情况</w:t>
      </w:r>
      <w:bookmarkEnd w:id="44"/>
    </w:p>
    <w:p w:rsidR="00BD1BB9" w:rsidRDefault="00452DEF">
      <w:pPr>
        <w:spacing w:before="40" w:after="40" w:line="240" w:lineRule="exact"/>
        <w:rPr>
          <w:rFonts w:ascii="宋体" w:eastAsia="宋体" w:hAnsi="宋体" w:cs="宋体"/>
          <w:sz w:val="18"/>
          <w:szCs w:val="18"/>
        </w:rPr>
      </w:pPr>
      <w:bookmarkStart w:id="45" w:name="OLE_LINK31"/>
      <w:bookmarkStart w:id="46" w:name="OLE_LINK32"/>
      <w:bookmarkStart w:id="47" w:name="OLE_LINK33"/>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48" w:name="_Toc988925"/>
      <w:bookmarkEnd w:id="45"/>
      <w:bookmarkEnd w:id="46"/>
      <w:bookmarkEnd w:id="47"/>
      <w:r>
        <w:rPr>
          <w:rFonts w:ascii="宋体" w:eastAsia="宋体" w:hAnsi="宋体" w:cs="宋体"/>
          <w:b/>
          <w:bCs/>
          <w:sz w:val="24"/>
          <w:szCs w:val="24"/>
        </w:rPr>
        <w:t>八、主要控股参股公司分析</w:t>
      </w:r>
      <w:bookmarkEnd w:id="48"/>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主要子公司及对公司净利润影响达10%以上的参股公司情况</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22"/>
        <w:gridCol w:w="1120"/>
        <w:gridCol w:w="1071"/>
        <w:gridCol w:w="1071"/>
        <w:gridCol w:w="1071"/>
        <w:gridCol w:w="1071"/>
        <w:gridCol w:w="1071"/>
        <w:gridCol w:w="1071"/>
      </w:tblGrid>
      <w:tr w:rsidR="00BD1BB9" w:rsidTr="005464F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1022"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公司类型</w:t>
            </w:r>
          </w:p>
        </w:tc>
        <w:tc>
          <w:tcPr>
            <w:tcW w:w="11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r>
      <w:tr w:rsidR="00BD1BB9" w:rsidTr="005464F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华西码头</w:t>
            </w:r>
          </w:p>
        </w:tc>
        <w:tc>
          <w:tcPr>
            <w:tcW w:w="1022"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子公司</w:t>
            </w:r>
          </w:p>
        </w:tc>
        <w:tc>
          <w:tcPr>
            <w:tcW w:w="11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液体化工码头的建设经营及配套服务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20,442万元</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51,006.49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48,163.14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9,584.52</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3,421.38</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2,956.44</w:t>
            </w:r>
          </w:p>
        </w:tc>
      </w:tr>
      <w:tr w:rsidR="00BD1BB9" w:rsidTr="005464F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一村资本</w:t>
            </w:r>
          </w:p>
        </w:tc>
        <w:tc>
          <w:tcPr>
            <w:tcW w:w="1022"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120" w:type="dxa"/>
            <w:tcBorders>
              <w:top w:val="single" w:sz="2" w:space="0" w:color="auto"/>
              <w:left w:val="single" w:sz="2" w:space="0" w:color="auto"/>
              <w:bottom w:val="single" w:sz="2" w:space="0" w:color="auto"/>
              <w:right w:val="single" w:sz="2" w:space="0" w:color="auto"/>
            </w:tcBorders>
            <w:vAlign w:val="center"/>
          </w:tcPr>
          <w:p w:rsidR="00BD1BB9" w:rsidRDefault="00452DEF" w:rsidP="005464FA">
            <w:pPr>
              <w:spacing w:line="240" w:lineRule="exact"/>
              <w:jc w:val="both"/>
              <w:rPr>
                <w:rFonts w:ascii="宋体" w:eastAsia="宋体" w:hAnsi="宋体" w:cs="宋体"/>
                <w:sz w:val="18"/>
                <w:szCs w:val="18"/>
              </w:rPr>
            </w:pPr>
            <w:r>
              <w:rPr>
                <w:rFonts w:ascii="宋体" w:eastAsia="宋体" w:hAnsi="宋体" w:cs="宋体"/>
                <w:sz w:val="18"/>
                <w:szCs w:val="18"/>
              </w:rPr>
              <w:t>投资管理、资产管理、创业投资、实业投资</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238,194万元</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630,699.30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497,719.14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1,181.75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8,362.64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5,570.33</w:t>
            </w:r>
          </w:p>
        </w:tc>
      </w:tr>
      <w:tr w:rsidR="00BD1BB9" w:rsidTr="005464F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索尔思光电（注）</w:t>
            </w:r>
          </w:p>
        </w:tc>
        <w:tc>
          <w:tcPr>
            <w:tcW w:w="1022"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1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光模块研发与生产</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50,000美元</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392,032.56</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145,032.88</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211,133.21</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36,312.74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32,693.44</w:t>
            </w:r>
          </w:p>
        </w:tc>
      </w:tr>
    </w:tbl>
    <w:p w:rsidR="00600733" w:rsidRDefault="00600733" w:rsidP="00600733">
      <w:pPr>
        <w:pStyle w:val="a3"/>
        <w:spacing w:before="0" w:beforeAutospacing="0" w:after="0" w:afterAutospacing="0" w:line="400" w:lineRule="atLeast"/>
        <w:ind w:firstLine="360"/>
        <w:rPr>
          <w:rFonts w:ascii="Calibri" w:hAnsi="Calibri" w:cs="Calibri"/>
          <w:sz w:val="21"/>
          <w:szCs w:val="21"/>
        </w:rPr>
      </w:pPr>
      <w:r>
        <w:rPr>
          <w:rFonts w:cs="Calibri" w:hint="eastAsia"/>
          <w:sz w:val="18"/>
          <w:szCs w:val="18"/>
        </w:rPr>
        <w:t>上述控股参股公司的财务数据均来源于其2025年半年度未经审计的财务报表。</w:t>
      </w:r>
    </w:p>
    <w:p w:rsidR="00600733" w:rsidRDefault="00600733" w:rsidP="00600733">
      <w:pPr>
        <w:pStyle w:val="a3"/>
        <w:spacing w:before="0" w:beforeAutospacing="0" w:after="0" w:afterAutospacing="0" w:line="400" w:lineRule="atLeast"/>
        <w:ind w:firstLine="360"/>
        <w:rPr>
          <w:rFonts w:cs="Calibri"/>
          <w:sz w:val="18"/>
          <w:szCs w:val="18"/>
        </w:rPr>
      </w:pPr>
      <w:r>
        <w:rPr>
          <w:rFonts w:cs="Calibri" w:hint="eastAsia"/>
          <w:sz w:val="18"/>
          <w:szCs w:val="18"/>
        </w:rPr>
        <w:t>注：考虑索尔思光电股权架构拆分影响，以上数据为还原后VENUS PEARL SPV2 CO LIMITED的数据。</w:t>
      </w:r>
    </w:p>
    <w:p w:rsidR="00600733" w:rsidRDefault="00600733" w:rsidP="00600733">
      <w:pPr>
        <w:pStyle w:val="a3"/>
        <w:spacing w:before="0" w:beforeAutospacing="0" w:after="0" w:afterAutospacing="0" w:line="400" w:lineRule="atLeast"/>
        <w:ind w:firstLine="360"/>
        <w:rPr>
          <w:rFonts w:ascii="Calibri" w:hAnsi="Calibri" w:cs="Calibri"/>
          <w:sz w:val="21"/>
          <w:szCs w:val="21"/>
        </w:rPr>
      </w:pP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报告期内取得和处置子公司的情况</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49" w:name="_Toc988926"/>
      <w:r>
        <w:rPr>
          <w:rFonts w:ascii="宋体" w:eastAsia="宋体" w:hAnsi="宋体" w:cs="宋体"/>
          <w:b/>
          <w:bCs/>
          <w:sz w:val="24"/>
          <w:szCs w:val="24"/>
        </w:rPr>
        <w:t>九、公司控制的结构化主体情况</w:t>
      </w:r>
      <w:bookmarkEnd w:id="49"/>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4A3B7E" w:rsidRDefault="00452DEF">
      <w:pPr>
        <w:pStyle w:val="a3"/>
        <w:spacing w:before="40" w:beforeAutospacing="0" w:after="40" w:afterAutospacing="0" w:line="276" w:lineRule="auto"/>
        <w:ind w:firstLine="360"/>
        <w:jc w:val="both"/>
        <w:divId w:val="237831339"/>
      </w:pPr>
      <w:r>
        <w:rPr>
          <w:rFonts w:hint="eastAsia"/>
          <w:sz w:val="18"/>
          <w:szCs w:val="18"/>
        </w:rPr>
        <w:t>报告期末纳入公司合并范围的结构化主体共1户，为上海启澜企业管理咨询合伙企业（有限合伙），总规模：115,000万元，公司作为有限合伙人认缴出资114,200万元，占上海启澜总规模的99.30%；上海一村安识企业管理有限公司作为普通合伙人认缴出资800万元，占上海启澜总规模的0.70%。公司向上海启澜实缴出资人民币96,250万元。</w:t>
      </w:r>
    </w:p>
    <w:p w:rsidR="004A3B7E" w:rsidRDefault="00452DEF">
      <w:pPr>
        <w:pStyle w:val="a3"/>
        <w:spacing w:before="40" w:beforeAutospacing="0" w:after="40" w:afterAutospacing="0" w:line="276" w:lineRule="auto"/>
        <w:ind w:firstLine="360"/>
        <w:jc w:val="both"/>
        <w:divId w:val="237831339"/>
      </w:pPr>
      <w:r>
        <w:rPr>
          <w:rFonts w:hint="eastAsia"/>
          <w:sz w:val="18"/>
          <w:szCs w:val="18"/>
        </w:rPr>
        <w:t>利润分配：上海启澜从其直接或间接处置索尔思项目(包括但不限于处置其在Diamond Hill, L.P.的合伙份额或其他权益)获得的收入或从其投资运营活动(包括与索尔思项目相关的投资)获得的分红、股息、利息、其他类似的现金收入在扣除为支付相关税费、债务、其他义务以及为将来可能发生的该等税费、债务、合伙企业费用和其他义务进行合理的预留适当的金额后可供分配的部分，应在经全体合伙人协商一致的合理时间内按照以下分配原则和顺序进行分配：</w:t>
      </w:r>
    </w:p>
    <w:p w:rsidR="004A3B7E" w:rsidRDefault="00452DEF">
      <w:pPr>
        <w:pStyle w:val="a3"/>
        <w:spacing w:before="40" w:beforeAutospacing="0" w:after="40" w:afterAutospacing="0" w:line="276" w:lineRule="auto"/>
        <w:ind w:firstLine="360"/>
        <w:jc w:val="both"/>
        <w:divId w:val="237831339"/>
      </w:pPr>
      <w:r>
        <w:rPr>
          <w:rFonts w:hint="eastAsia"/>
          <w:sz w:val="18"/>
          <w:szCs w:val="18"/>
        </w:rPr>
        <w:t>（1）首先，百分之百向华西股份进行分配，直至华西股份所取得的累计分配等于其用于索尔思项目的实缴出资额；</w:t>
      </w:r>
    </w:p>
    <w:p w:rsidR="004A3B7E" w:rsidRDefault="00452DEF">
      <w:pPr>
        <w:pStyle w:val="a3"/>
        <w:spacing w:before="40" w:beforeAutospacing="0" w:after="40" w:afterAutospacing="0" w:line="276" w:lineRule="auto"/>
        <w:ind w:firstLine="360"/>
        <w:jc w:val="both"/>
        <w:divId w:val="237831339"/>
      </w:pPr>
      <w:r>
        <w:rPr>
          <w:rFonts w:hint="eastAsia"/>
          <w:sz w:val="18"/>
          <w:szCs w:val="18"/>
        </w:rPr>
        <w:t>（2）其次，百分之百向华西股份进行分配，直至其就上述第（1）款项下累计获得的分配额获得每年百分之八的单利计算所得的门槛收益(“门槛收益”)。门槛收益的计算期间为华西股份每一期实缴出资额的缴资到期日(或实际出资日，如更晚)起至华西股份根据上述第（1）款收回该部分实缴出资额之日止（为计算门槛收益之目的，一年以三百六十日计算, 即门槛收益每日费率=门槛收益每年费率/360）；</w:t>
      </w:r>
    </w:p>
    <w:p w:rsidR="004A3B7E" w:rsidRDefault="00452DEF">
      <w:pPr>
        <w:pStyle w:val="a3"/>
        <w:spacing w:before="40" w:beforeAutospacing="0" w:after="40" w:afterAutospacing="0" w:line="276" w:lineRule="auto"/>
        <w:ind w:firstLine="360"/>
        <w:jc w:val="both"/>
        <w:divId w:val="237831339"/>
      </w:pPr>
      <w:r>
        <w:rPr>
          <w:rFonts w:hint="eastAsia"/>
          <w:sz w:val="18"/>
          <w:szCs w:val="18"/>
        </w:rPr>
        <w:t>（3）再次，剩余部分百分之二十分配给上海一村安识企业管理有限公司，百分之八十分配给华西股份。</w:t>
      </w:r>
    </w:p>
    <w:p w:rsidR="00BD1BB9" w:rsidRDefault="00452DEF">
      <w:pPr>
        <w:pStyle w:val="2"/>
        <w:spacing w:before="300" w:after="300" w:line="320" w:lineRule="exact"/>
        <w:rPr>
          <w:rFonts w:ascii="宋体" w:eastAsia="宋体" w:hAnsi="宋体" w:cs="宋体"/>
          <w:b/>
          <w:bCs/>
          <w:sz w:val="24"/>
          <w:szCs w:val="24"/>
        </w:rPr>
      </w:pPr>
      <w:bookmarkStart w:id="50" w:name="_Toc988927"/>
      <w:r>
        <w:rPr>
          <w:rFonts w:ascii="宋体" w:eastAsia="宋体" w:hAnsi="宋体" w:cs="宋体"/>
          <w:b/>
          <w:bCs/>
          <w:sz w:val="24"/>
          <w:szCs w:val="24"/>
        </w:rPr>
        <w:lastRenderedPageBreak/>
        <w:t>十、公司面临的风险和应对措施</w:t>
      </w:r>
      <w:bookmarkEnd w:id="50"/>
    </w:p>
    <w:p w:rsidR="004A3B7E" w:rsidRDefault="00452DEF">
      <w:pPr>
        <w:pStyle w:val="a3"/>
        <w:spacing w:before="0" w:beforeAutospacing="0" w:after="0" w:afterAutospacing="0" w:line="276" w:lineRule="auto"/>
        <w:ind w:firstLine="423"/>
        <w:jc w:val="both"/>
        <w:divId w:val="205872390"/>
      </w:pPr>
      <w:r>
        <w:rPr>
          <w:rFonts w:hint="eastAsia"/>
          <w:sz w:val="18"/>
          <w:szCs w:val="18"/>
        </w:rPr>
        <w:t>（1）宏观政策风险</w:t>
      </w:r>
    </w:p>
    <w:p w:rsidR="004A3B7E" w:rsidRDefault="00452DEF">
      <w:pPr>
        <w:pStyle w:val="a3"/>
        <w:spacing w:before="0" w:beforeAutospacing="0" w:after="0" w:afterAutospacing="0" w:line="276" w:lineRule="auto"/>
        <w:ind w:firstLine="423"/>
        <w:jc w:val="both"/>
        <w:divId w:val="205872390"/>
      </w:pPr>
      <w:r>
        <w:rPr>
          <w:rFonts w:hint="eastAsia"/>
          <w:sz w:val="18"/>
          <w:szCs w:val="18"/>
        </w:rPr>
        <w:t>公司所处的纺织化纤行业与投资和消费需求紧密相关，受宏观经济波动的影响较为明显。同时，公司产品市场是全球性市场，汇率的波动将会对公司外销利润带来不确定影响。从长期看，宏观调控措施将影响纺织化纤市场的总体供求关系、产品供应结构等，并可能使相关市场短期内产生较大波动。如果公司不能适应国家的宏观调控政策并及时做出相应的业务策略调整，将可能对公司的经营成果和未来发展构成不利影响。</w:t>
      </w:r>
    </w:p>
    <w:p w:rsidR="004A3B7E" w:rsidRDefault="00452DEF">
      <w:pPr>
        <w:pStyle w:val="a3"/>
        <w:spacing w:before="0" w:beforeAutospacing="0" w:after="0" w:afterAutospacing="0" w:line="276" w:lineRule="auto"/>
        <w:ind w:firstLine="423"/>
        <w:jc w:val="both"/>
        <w:divId w:val="205872390"/>
      </w:pPr>
      <w:r>
        <w:rPr>
          <w:rFonts w:hint="eastAsia"/>
          <w:sz w:val="18"/>
          <w:szCs w:val="18"/>
        </w:rPr>
        <w:t>（2）日常经营和管理风险</w:t>
      </w:r>
    </w:p>
    <w:p w:rsidR="004A3B7E" w:rsidRDefault="00452DEF">
      <w:pPr>
        <w:pStyle w:val="a3"/>
        <w:spacing w:before="0" w:beforeAutospacing="0" w:after="0" w:afterAutospacing="0" w:line="276" w:lineRule="auto"/>
        <w:ind w:firstLine="423"/>
        <w:jc w:val="both"/>
        <w:divId w:val="205872390"/>
      </w:pPr>
      <w:r>
        <w:rPr>
          <w:rFonts w:hint="eastAsia"/>
          <w:sz w:val="18"/>
          <w:szCs w:val="18"/>
        </w:rPr>
        <w:t>①化纤行业周期性波动风险</w:t>
      </w:r>
    </w:p>
    <w:p w:rsidR="004A3B7E" w:rsidRDefault="00452DEF">
      <w:pPr>
        <w:pStyle w:val="a3"/>
        <w:spacing w:before="0" w:beforeAutospacing="0" w:after="0" w:afterAutospacing="0" w:line="276" w:lineRule="auto"/>
        <w:ind w:firstLine="423"/>
        <w:jc w:val="both"/>
        <w:divId w:val="205872390"/>
      </w:pPr>
      <w:r>
        <w:rPr>
          <w:rFonts w:hint="eastAsia"/>
          <w:sz w:val="18"/>
          <w:szCs w:val="18"/>
        </w:rPr>
        <w:t>公司的生产经营主要受上游石化行业供给、下游纺织行业供需关系以及自身发展状况的影响，而呈现一定的周期特征。由于化纤行业的上下游——石化和纺织分属周期性行业和出口导向型行业，因此化纤行业整体发展存在明显的周期性波动，公司下游客户是劳动密集型和出口依赖型行业，受整体行业影响及上下游产品价格影响，公司主要产品涤纶短纤维的价格也呈波动态势，产品价格波动对公司经营业绩的影响非常显著，公司未来的经营业绩同样将面临产品市场价格周期性波动的风险。</w:t>
      </w:r>
    </w:p>
    <w:p w:rsidR="004A3B7E" w:rsidRDefault="00452DEF">
      <w:pPr>
        <w:pStyle w:val="a3"/>
        <w:spacing w:before="0" w:beforeAutospacing="0" w:after="0" w:afterAutospacing="0" w:line="276" w:lineRule="auto"/>
        <w:ind w:firstLine="423"/>
        <w:jc w:val="both"/>
        <w:divId w:val="205872390"/>
      </w:pPr>
      <w:r>
        <w:rPr>
          <w:rFonts w:hint="eastAsia"/>
          <w:sz w:val="18"/>
          <w:szCs w:val="18"/>
        </w:rPr>
        <w:t>②化纤行业市场竞争风险</w:t>
      </w:r>
    </w:p>
    <w:p w:rsidR="004A3B7E" w:rsidRDefault="00452DEF">
      <w:pPr>
        <w:pStyle w:val="a3"/>
        <w:spacing w:before="0" w:beforeAutospacing="0" w:after="0" w:afterAutospacing="0" w:line="276" w:lineRule="auto"/>
        <w:ind w:firstLine="423"/>
        <w:jc w:val="both"/>
        <w:divId w:val="205872390"/>
      </w:pPr>
      <w:r>
        <w:rPr>
          <w:rFonts w:hint="eastAsia"/>
          <w:sz w:val="18"/>
          <w:szCs w:val="18"/>
        </w:rPr>
        <w:t>化纤行业为完全市场竞争行业，由于国内外化纤设备的技术工艺基本成熟，降低了行业的投资成本。较低的行业门槛导致众多的市场主体加入竞争，激烈的竞争进一步降低了行业的利润水平。由于市场过于偏重于对数量的要求，科研投入不足，现有产能中同质化产品过剩。公司若不能及时提高产品层次，生产市场所需差别化及特种纤维等高端产品，经营业绩有下滑的风险。</w:t>
      </w:r>
    </w:p>
    <w:p w:rsidR="004A3B7E" w:rsidRDefault="00452DEF">
      <w:pPr>
        <w:pStyle w:val="a3"/>
        <w:spacing w:before="0" w:beforeAutospacing="0" w:after="0" w:afterAutospacing="0" w:line="276" w:lineRule="auto"/>
        <w:ind w:firstLine="423"/>
        <w:jc w:val="both"/>
        <w:divId w:val="205872390"/>
      </w:pPr>
      <w:r>
        <w:rPr>
          <w:rFonts w:hint="eastAsia"/>
          <w:sz w:val="18"/>
          <w:szCs w:val="18"/>
        </w:rPr>
        <w:t>③原材料价格波动风险</w:t>
      </w:r>
    </w:p>
    <w:p w:rsidR="004A3B7E" w:rsidRDefault="00452DEF">
      <w:pPr>
        <w:pStyle w:val="a3"/>
        <w:spacing w:before="0" w:beforeAutospacing="0" w:after="0" w:afterAutospacing="0" w:line="276" w:lineRule="auto"/>
        <w:ind w:firstLine="423"/>
        <w:jc w:val="both"/>
        <w:divId w:val="205872390"/>
      </w:pPr>
      <w:r>
        <w:rPr>
          <w:rFonts w:hint="eastAsia"/>
          <w:sz w:val="18"/>
          <w:szCs w:val="18"/>
        </w:rPr>
        <w:t>公司涤纶短纤维产品的主要原料为精对苯二甲酸和乙二醇，主要原材料及产品市场价格均有可能随着石油、天然气等大宗商品价格波动，以及国际政治经济局势、宏观经济发展状况、市场供求关系的变化而呈现出较大幅度波动，进而可能对公司的经营情况、业绩水平稳定性产生一定影响。</w:t>
      </w:r>
    </w:p>
    <w:p w:rsidR="004A3B7E" w:rsidRDefault="00452DEF">
      <w:pPr>
        <w:pStyle w:val="a3"/>
        <w:spacing w:before="0" w:beforeAutospacing="0" w:after="0" w:afterAutospacing="0" w:line="276" w:lineRule="auto"/>
        <w:ind w:firstLine="423"/>
        <w:jc w:val="both"/>
        <w:divId w:val="205872390"/>
      </w:pPr>
      <w:r>
        <w:rPr>
          <w:rFonts w:hint="eastAsia"/>
          <w:sz w:val="18"/>
          <w:szCs w:val="18"/>
        </w:rPr>
        <w:t>④石化仓储业务内延发展受限的风险</w:t>
      </w:r>
    </w:p>
    <w:p w:rsidR="004A3B7E" w:rsidRDefault="00452DEF">
      <w:pPr>
        <w:pStyle w:val="a3"/>
        <w:spacing w:before="0" w:beforeAutospacing="0" w:after="0" w:afterAutospacing="0" w:line="276" w:lineRule="auto"/>
        <w:ind w:firstLine="423"/>
        <w:jc w:val="both"/>
        <w:divId w:val="205872390"/>
      </w:pPr>
      <w:r>
        <w:rPr>
          <w:rFonts w:hint="eastAsia"/>
          <w:sz w:val="18"/>
          <w:szCs w:val="18"/>
        </w:rPr>
        <w:t>对于石化仓储企业来说，码头岸线及土地资源是企业发展的关键性资源。公司的仓储业务对码头和土地的依赖性较高。目前，公司无新增液体化工专用码头资源，且土地供给也受限，面临内延发展受限的风险。</w:t>
      </w:r>
    </w:p>
    <w:p w:rsidR="004A3B7E" w:rsidRDefault="00452DEF">
      <w:pPr>
        <w:pStyle w:val="a3"/>
        <w:spacing w:before="0" w:beforeAutospacing="0" w:after="0" w:afterAutospacing="0" w:line="276" w:lineRule="auto"/>
        <w:ind w:firstLine="423"/>
        <w:jc w:val="both"/>
        <w:divId w:val="205872390"/>
      </w:pPr>
      <w:r>
        <w:rPr>
          <w:rFonts w:hint="eastAsia"/>
          <w:sz w:val="18"/>
          <w:szCs w:val="18"/>
        </w:rPr>
        <w:t>⑤环保和安全生产风险</w:t>
      </w:r>
    </w:p>
    <w:p w:rsidR="004A3B7E" w:rsidRDefault="00452DEF">
      <w:pPr>
        <w:pStyle w:val="a3"/>
        <w:spacing w:before="0" w:beforeAutospacing="0" w:after="0" w:afterAutospacing="0" w:line="276" w:lineRule="auto"/>
        <w:ind w:firstLine="423"/>
        <w:jc w:val="both"/>
        <w:divId w:val="205872390"/>
      </w:pPr>
      <w:r>
        <w:rPr>
          <w:rFonts w:hint="eastAsia"/>
          <w:sz w:val="18"/>
          <w:szCs w:val="18"/>
        </w:rPr>
        <w:t>公司主营业务所处的纺织化纤和石化仓储行业，在生产经营的过程中还可能存在一定程度</w:t>
      </w:r>
      <w:r w:rsidR="000653B1">
        <w:rPr>
          <w:rFonts w:hint="eastAsia"/>
          <w:sz w:val="18"/>
          <w:szCs w:val="18"/>
        </w:rPr>
        <w:t>的</w:t>
      </w:r>
      <w:r>
        <w:rPr>
          <w:rFonts w:hint="eastAsia"/>
          <w:sz w:val="18"/>
          <w:szCs w:val="18"/>
        </w:rPr>
        <w:t>影响周边环境的因素，例如产生废水、废气以及固体废弃物等污染物。虽然公司根据有关法律法规的要求，对化纤生产过程和仓储过程进行了严格的环保控制，并且严格按照标准排放。但是随着我国环境保护力度日趋提升，公司可能会因环境保护政策的变化而增加环保成本，进而对公司经营业绩造成影响。</w:t>
      </w:r>
    </w:p>
    <w:p w:rsidR="004A3B7E" w:rsidRDefault="00452DEF">
      <w:pPr>
        <w:pStyle w:val="a3"/>
        <w:spacing w:before="0" w:beforeAutospacing="0" w:after="0" w:afterAutospacing="0" w:line="276" w:lineRule="auto"/>
        <w:ind w:firstLine="423"/>
        <w:jc w:val="both"/>
        <w:divId w:val="205872390"/>
      </w:pPr>
      <w:r>
        <w:rPr>
          <w:rFonts w:hint="eastAsia"/>
          <w:sz w:val="18"/>
          <w:szCs w:val="18"/>
        </w:rPr>
        <w:t>公司库区存储的货品大多数是易燃、易爆、有毒或腐蚀性的高危液体化工产品，若出现操作失误或设备故障，可能导致生产事故的发生，对周边地区及长江流域造成环境污染，从而面临承担赔偿相关损失和受到处罚的风险。因此，公司面临一定的安全生产、环境保护及其他突发事件风险。</w:t>
      </w:r>
    </w:p>
    <w:p w:rsidR="004A3B7E" w:rsidRDefault="00452DEF">
      <w:pPr>
        <w:pStyle w:val="a3"/>
        <w:spacing w:before="0" w:beforeAutospacing="0" w:after="0" w:afterAutospacing="0" w:line="276" w:lineRule="auto"/>
        <w:ind w:firstLine="423"/>
        <w:jc w:val="both"/>
        <w:divId w:val="205872390"/>
      </w:pPr>
      <w:r>
        <w:rPr>
          <w:rFonts w:hint="eastAsia"/>
          <w:sz w:val="18"/>
          <w:szCs w:val="18"/>
        </w:rPr>
        <w:t>针对上述风险，公司将及时了解外部环境变化趋势，调整产品结构，加大创新力度，提高技术水平和研发能力，赢得市场竞争的主动权，增强企业的抗风险能力。同时，进一步完善内部控制体系，强化风险防范机制，主动适应宏观经济新常态和市场竞争格局的变化，持续提高经营管理水平和风险防范能力。在生产过程中不断加强对安全、环保的控制和监督，提升员工和管理人员的环保意识，切实履行安全、环保责任，避免安全、环保等给公司带来的不利影响。</w:t>
      </w:r>
    </w:p>
    <w:p w:rsidR="00BD1BB9" w:rsidRDefault="00452DEF">
      <w:pPr>
        <w:pStyle w:val="2"/>
        <w:spacing w:before="300" w:after="300" w:line="320" w:lineRule="exact"/>
        <w:rPr>
          <w:rFonts w:ascii="宋体" w:eastAsia="宋体" w:hAnsi="宋体" w:cs="宋体"/>
          <w:b/>
          <w:bCs/>
          <w:sz w:val="24"/>
          <w:szCs w:val="24"/>
        </w:rPr>
      </w:pPr>
      <w:bookmarkStart w:id="51" w:name="_Toc988928"/>
      <w:r>
        <w:rPr>
          <w:rFonts w:ascii="宋体" w:eastAsia="宋体" w:hAnsi="宋体" w:cs="宋体"/>
          <w:b/>
          <w:bCs/>
          <w:sz w:val="24"/>
          <w:szCs w:val="24"/>
        </w:rPr>
        <w:lastRenderedPageBreak/>
        <w:t>十一、市值管理制度和估值提升计划的制定落实情况</w:t>
      </w:r>
      <w:bookmarkEnd w:id="51"/>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公司是否制定了市值管理制度。</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公司是否披露了估值提升计划。</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D1BB9" w:rsidRDefault="00452DEF">
      <w:pPr>
        <w:pStyle w:val="2"/>
        <w:spacing w:before="300" w:after="300" w:line="320" w:lineRule="exact"/>
        <w:rPr>
          <w:rFonts w:ascii="宋体" w:eastAsia="宋体" w:hAnsi="宋体" w:cs="宋体"/>
          <w:b/>
          <w:bCs/>
          <w:sz w:val="24"/>
          <w:szCs w:val="24"/>
        </w:rPr>
      </w:pPr>
      <w:bookmarkStart w:id="52" w:name="_Toc988929"/>
      <w:r>
        <w:rPr>
          <w:rFonts w:ascii="宋体" w:eastAsia="宋体" w:hAnsi="宋体" w:cs="宋体"/>
          <w:b/>
          <w:bCs/>
          <w:sz w:val="24"/>
          <w:szCs w:val="24"/>
        </w:rPr>
        <w:t>十二、“质量回报双提升”行动方案贯彻落实情况</w:t>
      </w:r>
      <w:bookmarkEnd w:id="52"/>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公司是否披露了“质量回报双提升”行动方案公告。</w:t>
      </w:r>
    </w:p>
    <w:p w:rsidR="00600733"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600733" w:rsidRDefault="00600733">
      <w:pPr>
        <w:widowControl/>
        <w:rPr>
          <w:rFonts w:ascii="宋体" w:eastAsia="宋体" w:hAnsi="宋体" w:cs="宋体"/>
          <w:sz w:val="18"/>
          <w:szCs w:val="18"/>
        </w:rPr>
      </w:pPr>
      <w:r>
        <w:rPr>
          <w:rFonts w:ascii="宋体" w:eastAsia="宋体" w:hAnsi="宋体" w:cs="宋体"/>
          <w:sz w:val="18"/>
          <w:szCs w:val="18"/>
        </w:rPr>
        <w:br w:type="page"/>
      </w:r>
    </w:p>
    <w:p w:rsidR="00BD1BB9" w:rsidRDefault="00452DEF">
      <w:pPr>
        <w:pStyle w:val="headingh1"/>
        <w:spacing w:before="340" w:after="330" w:line="773" w:lineRule="exact"/>
        <w:jc w:val="center"/>
        <w:rPr>
          <w:rFonts w:ascii="宋体" w:eastAsia="宋体" w:hAnsi="宋体" w:cs="宋体"/>
          <w:b/>
          <w:bCs/>
          <w:sz w:val="32"/>
          <w:szCs w:val="32"/>
        </w:rPr>
      </w:pPr>
      <w:bookmarkStart w:id="53" w:name="_Toc988930"/>
      <w:r>
        <w:rPr>
          <w:rFonts w:ascii="宋体" w:eastAsia="宋体" w:hAnsi="宋体" w:cs="宋体"/>
          <w:b/>
          <w:bCs/>
          <w:sz w:val="32"/>
          <w:szCs w:val="32"/>
        </w:rPr>
        <w:lastRenderedPageBreak/>
        <w:t>第四节 公司治理、环境和社会</w:t>
      </w:r>
      <w:bookmarkEnd w:id="53"/>
    </w:p>
    <w:p w:rsidR="00BD1BB9" w:rsidRDefault="00452DEF">
      <w:pPr>
        <w:pStyle w:val="2"/>
        <w:spacing w:before="300" w:after="300" w:line="320" w:lineRule="exact"/>
        <w:rPr>
          <w:rFonts w:ascii="宋体" w:eastAsia="宋体" w:hAnsi="宋体" w:cs="宋体"/>
          <w:b/>
          <w:bCs/>
          <w:sz w:val="24"/>
          <w:szCs w:val="24"/>
        </w:rPr>
      </w:pPr>
      <w:bookmarkStart w:id="54" w:name="_Toc988931"/>
      <w:r>
        <w:rPr>
          <w:rFonts w:ascii="宋体" w:eastAsia="宋体" w:hAnsi="宋体" w:cs="宋体"/>
          <w:b/>
          <w:bCs/>
          <w:sz w:val="24"/>
          <w:szCs w:val="24"/>
        </w:rPr>
        <w:t>一、公司董事、监事、高级管理人员变动情况</w:t>
      </w:r>
      <w:bookmarkEnd w:id="54"/>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吴茂</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职工董事</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2025年06月</w:t>
            </w:r>
            <w:r w:rsidR="00814988">
              <w:rPr>
                <w:rFonts w:ascii="宋体" w:eastAsia="宋体" w:hAnsi="宋体" w:cs="宋体"/>
                <w:sz w:val="18"/>
                <w:szCs w:val="18"/>
              </w:rPr>
              <w:t>1</w:t>
            </w:r>
            <w:r w:rsidR="00814988">
              <w:rPr>
                <w:rFonts w:ascii="宋体" w:eastAsia="宋体" w:hAnsi="宋体" w:cs="宋体" w:hint="eastAsia"/>
                <w:sz w:val="18"/>
                <w:szCs w:val="18"/>
              </w:rPr>
              <w:t>0</w:t>
            </w:r>
            <w:r>
              <w:rPr>
                <w:rFonts w:ascii="宋体" w:eastAsia="宋体" w:hAnsi="宋体"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工作调动</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卢青</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2025年05月23日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600733">
            <w:pPr>
              <w:spacing w:line="240" w:lineRule="exact"/>
              <w:rPr>
                <w:rFonts w:ascii="宋体" w:eastAsia="宋体" w:hAnsi="宋体" w:cs="宋体"/>
                <w:sz w:val="18"/>
                <w:szCs w:val="18"/>
              </w:rPr>
            </w:pPr>
            <w:r>
              <w:rPr>
                <w:rFonts w:ascii="宋体" w:eastAsia="宋体" w:hAnsi="宋体" w:cs="宋体"/>
                <w:sz w:val="18"/>
                <w:szCs w:val="18"/>
              </w:rPr>
              <w:t>其他</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施平</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监事</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2025年05月23日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600733">
            <w:pPr>
              <w:spacing w:line="240" w:lineRule="exact"/>
              <w:rPr>
                <w:rFonts w:ascii="宋体" w:eastAsia="宋体" w:hAnsi="宋体" w:cs="宋体"/>
                <w:sz w:val="18"/>
                <w:szCs w:val="18"/>
              </w:rPr>
            </w:pPr>
            <w:r>
              <w:rPr>
                <w:rFonts w:ascii="宋体" w:eastAsia="宋体" w:hAnsi="宋体" w:cs="宋体"/>
                <w:sz w:val="18"/>
                <w:szCs w:val="18"/>
              </w:rPr>
              <w:t>其他</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刘蓓</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职工监事</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2025年05月23日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600733">
            <w:pPr>
              <w:spacing w:line="240" w:lineRule="exact"/>
              <w:rPr>
                <w:rFonts w:ascii="宋体" w:eastAsia="宋体" w:hAnsi="宋体" w:cs="宋体"/>
                <w:sz w:val="18"/>
                <w:szCs w:val="18"/>
              </w:rPr>
            </w:pPr>
            <w:r>
              <w:rPr>
                <w:rFonts w:ascii="宋体" w:eastAsia="宋体" w:hAnsi="宋体" w:cs="宋体"/>
                <w:sz w:val="18"/>
                <w:szCs w:val="18"/>
              </w:rPr>
              <w:t>其他</w:t>
            </w:r>
          </w:p>
        </w:tc>
      </w:tr>
    </w:tbl>
    <w:p w:rsidR="004231DC" w:rsidRPr="00600733" w:rsidRDefault="00600733" w:rsidP="004231DC">
      <w:pPr>
        <w:adjustRightInd w:val="0"/>
        <w:snapToGrid w:val="0"/>
        <w:spacing w:line="276" w:lineRule="auto"/>
        <w:rPr>
          <w:rFonts w:ascii="宋体" w:eastAsia="宋体" w:hAnsi="宋体" w:cs="宋体"/>
          <w:sz w:val="18"/>
          <w:szCs w:val="18"/>
        </w:rPr>
      </w:pPr>
      <w:bookmarkStart w:id="55" w:name="_Toc988932"/>
      <w:r>
        <w:rPr>
          <w:rFonts w:ascii="宋体" w:eastAsia="宋体" w:hAnsi="宋体" w:cs="宋体" w:hint="eastAsia"/>
          <w:sz w:val="18"/>
          <w:szCs w:val="18"/>
        </w:rPr>
        <w:t>注：</w:t>
      </w:r>
      <w:r w:rsidR="004231DC">
        <w:rPr>
          <w:rFonts w:ascii="宋体" w:eastAsia="宋体" w:hAnsi="宋体" w:cs="宋体" w:hint="eastAsia"/>
          <w:sz w:val="18"/>
          <w:szCs w:val="18"/>
        </w:rPr>
        <w:t>报告期内，经公司职工代表大会选举，</w:t>
      </w:r>
      <w:r w:rsidR="004231DC" w:rsidRPr="004231DC">
        <w:rPr>
          <w:rFonts w:ascii="宋体" w:eastAsia="宋体" w:hAnsi="宋体" w:cs="宋体" w:hint="eastAsia"/>
          <w:sz w:val="18"/>
          <w:szCs w:val="18"/>
        </w:rPr>
        <w:t>吴茂先生</w:t>
      </w:r>
      <w:r w:rsidR="004231DC">
        <w:rPr>
          <w:rFonts w:ascii="宋体" w:eastAsia="宋体" w:hAnsi="宋体" w:cs="宋体"/>
          <w:sz w:val="18"/>
          <w:szCs w:val="18"/>
        </w:rPr>
        <w:t>由第九届董事会非独立董事变更为第九届董事会职工代表董事。</w:t>
      </w:r>
    </w:p>
    <w:p w:rsidR="00600733" w:rsidRDefault="004231DC" w:rsidP="004231DC">
      <w:pPr>
        <w:adjustRightInd w:val="0"/>
        <w:snapToGrid w:val="0"/>
        <w:spacing w:line="276" w:lineRule="auto"/>
        <w:rPr>
          <w:rFonts w:ascii="宋体" w:eastAsia="宋体" w:hAnsi="宋体" w:cs="宋体"/>
          <w:sz w:val="18"/>
          <w:szCs w:val="18"/>
        </w:rPr>
      </w:pPr>
      <w:r>
        <w:rPr>
          <w:rFonts w:ascii="宋体" w:eastAsia="宋体" w:hAnsi="宋体" w:cs="宋体" w:hint="eastAsia"/>
          <w:sz w:val="18"/>
          <w:szCs w:val="18"/>
        </w:rPr>
        <w:t>2025年5月23日</w:t>
      </w:r>
      <w:r w:rsidR="00600733">
        <w:rPr>
          <w:rFonts w:ascii="宋体" w:eastAsia="宋体" w:hAnsi="宋体" w:cs="宋体" w:hint="eastAsia"/>
          <w:sz w:val="18"/>
          <w:szCs w:val="18"/>
        </w:rPr>
        <w:t>，公司2024年度股东会审议通过了《关于修订〈公司章程〉部分条款的议案》，根据修订后的《公司章程》，公司不再设置监事会</w:t>
      </w:r>
      <w:r>
        <w:rPr>
          <w:rFonts w:ascii="宋体" w:eastAsia="宋体" w:hAnsi="宋体" w:cs="宋体" w:hint="eastAsia"/>
          <w:sz w:val="18"/>
          <w:szCs w:val="18"/>
        </w:rPr>
        <w:t>和监事</w:t>
      </w:r>
      <w:r w:rsidR="00600733">
        <w:rPr>
          <w:rFonts w:ascii="宋体" w:eastAsia="宋体" w:hAnsi="宋体" w:cs="宋体" w:hint="eastAsia"/>
          <w:sz w:val="18"/>
          <w:szCs w:val="18"/>
        </w:rPr>
        <w:t>，监事会的职权由董事会审计委员会行使。</w:t>
      </w:r>
    </w:p>
    <w:p w:rsidR="00BD1BB9" w:rsidRDefault="00452DEF">
      <w:pPr>
        <w:pStyle w:val="2"/>
        <w:spacing w:before="300" w:after="300" w:line="320" w:lineRule="exact"/>
        <w:rPr>
          <w:rFonts w:ascii="宋体" w:eastAsia="宋体" w:hAnsi="宋体" w:cs="宋体"/>
          <w:b/>
          <w:bCs/>
          <w:sz w:val="24"/>
          <w:szCs w:val="24"/>
        </w:rPr>
      </w:pPr>
      <w:r>
        <w:rPr>
          <w:rFonts w:ascii="宋体" w:eastAsia="宋体" w:hAnsi="宋体" w:cs="宋体"/>
          <w:b/>
          <w:bCs/>
          <w:sz w:val="24"/>
          <w:szCs w:val="24"/>
        </w:rPr>
        <w:t>二、本报告期利润分配及资本公积金转增股本情况</w:t>
      </w:r>
      <w:bookmarkEnd w:id="55"/>
    </w:p>
    <w:p w:rsidR="00BD1BB9" w:rsidRDefault="00452DEF">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每10股送红股数（股）</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每10股派息数（元）（含税）</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0.2</w:t>
            </w:r>
            <w:r w:rsidR="00AD17BB">
              <w:rPr>
                <w:rFonts w:ascii="宋体" w:eastAsia="宋体" w:hAnsi="宋体" w:cs="宋体" w:hint="eastAsia"/>
                <w:sz w:val="18"/>
                <w:szCs w:val="18"/>
              </w:rPr>
              <w:t>0</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分配预案的股本基数（股）</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rsidP="004231DC">
            <w:pPr>
              <w:spacing w:line="240" w:lineRule="exact"/>
              <w:jc w:val="right"/>
              <w:rPr>
                <w:rFonts w:ascii="宋体" w:eastAsia="宋体" w:hAnsi="宋体" w:cs="宋体"/>
                <w:sz w:val="18"/>
                <w:szCs w:val="18"/>
              </w:rPr>
            </w:pPr>
            <w:r>
              <w:rPr>
                <w:rFonts w:ascii="宋体" w:eastAsia="宋体" w:hAnsi="宋体" w:cs="宋体"/>
                <w:sz w:val="18"/>
                <w:szCs w:val="18"/>
              </w:rPr>
              <w:t>886,012,887</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现金分红金额（元）（含税）</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612F73">
            <w:pPr>
              <w:spacing w:line="240" w:lineRule="exact"/>
              <w:jc w:val="right"/>
              <w:rPr>
                <w:rFonts w:ascii="宋体" w:eastAsia="宋体" w:hAnsi="宋体" w:cs="宋体"/>
                <w:sz w:val="18"/>
                <w:szCs w:val="18"/>
              </w:rPr>
            </w:pPr>
            <w:r>
              <w:rPr>
                <w:rFonts w:ascii="宋体" w:hAnsi="宋体" w:cs="宋体" w:hint="eastAsia"/>
                <w:kern w:val="0"/>
                <w:sz w:val="18"/>
                <w:szCs w:val="18"/>
              </w:rPr>
              <w:t>17,720,257.74</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以其他方式（如回购股份）现金分红金额（元）</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现金分红总额（含其他方式）（元）</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612F73" w:rsidP="004231DC">
            <w:pPr>
              <w:spacing w:line="240" w:lineRule="exact"/>
              <w:jc w:val="right"/>
              <w:rPr>
                <w:rFonts w:ascii="宋体" w:eastAsia="宋体" w:hAnsi="宋体" w:cs="宋体"/>
                <w:sz w:val="18"/>
                <w:szCs w:val="18"/>
              </w:rPr>
            </w:pPr>
            <w:r>
              <w:rPr>
                <w:rFonts w:ascii="宋体" w:eastAsia="宋体" w:hAnsi="宋体" w:cs="宋体" w:hint="eastAsia"/>
                <w:kern w:val="0"/>
                <w:sz w:val="18"/>
                <w:szCs w:val="18"/>
              </w:rPr>
              <w:t>17,720,257.74</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可分配利润（元）</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3,174,324,436.71</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现金分红总额（含其他方式）占利润分配总额的比例</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rsidP="004231DC">
            <w:pPr>
              <w:spacing w:line="240" w:lineRule="exact"/>
              <w:jc w:val="right"/>
              <w:rPr>
                <w:rFonts w:ascii="宋体" w:eastAsia="宋体" w:hAnsi="宋体" w:cs="宋体"/>
                <w:sz w:val="18"/>
                <w:szCs w:val="18"/>
              </w:rPr>
            </w:pPr>
            <w:r>
              <w:rPr>
                <w:rFonts w:ascii="宋体" w:eastAsia="宋体" w:hAnsi="宋体" w:cs="宋体"/>
                <w:sz w:val="18"/>
                <w:szCs w:val="18"/>
              </w:rPr>
              <w:t>100%</w:t>
            </w:r>
          </w:p>
        </w:tc>
      </w:tr>
      <w:tr w:rsidR="00BD1BB9">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本次现金分红情况</w:t>
            </w:r>
          </w:p>
        </w:tc>
      </w:tr>
      <w:tr w:rsidR="00BD1BB9">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w:t>
            </w:r>
          </w:p>
        </w:tc>
      </w:tr>
      <w:tr w:rsidR="00BD1BB9">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利润分配或资本公积金转增预案的详细情况说明</w:t>
            </w:r>
          </w:p>
        </w:tc>
      </w:tr>
      <w:tr w:rsidR="00BD1BB9">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AD17BB">
            <w:pPr>
              <w:spacing w:line="276" w:lineRule="auto"/>
              <w:ind w:firstLineChars="200" w:firstLine="360"/>
              <w:jc w:val="both"/>
              <w:rPr>
                <w:rFonts w:ascii="宋体" w:eastAsia="宋体" w:hAnsi="宋体" w:cs="宋体"/>
                <w:sz w:val="18"/>
                <w:szCs w:val="18"/>
              </w:rPr>
            </w:pPr>
            <w:r>
              <w:rPr>
                <w:rFonts w:ascii="宋体" w:eastAsia="宋体" w:hAnsi="宋体" w:cs="宋体"/>
                <w:sz w:val="18"/>
                <w:szCs w:val="18"/>
              </w:rPr>
              <w:t>根据公司2025年半年度财务报告（未经审计），公司2025年半年度合并报表实现归属于上市公司股东的净利润为166,011,420.16元，2025年半年度母公司实现净利润为47,040,758.07元，截至2025年6月30日，母公司累计</w:t>
            </w:r>
            <w:r w:rsidR="00D255C2">
              <w:rPr>
                <w:rFonts w:ascii="宋体" w:eastAsia="宋体" w:hAnsi="宋体" w:cs="宋体"/>
                <w:sz w:val="18"/>
                <w:szCs w:val="18"/>
              </w:rPr>
              <w:t>未</w:t>
            </w:r>
            <w:r>
              <w:rPr>
                <w:rFonts w:ascii="宋体" w:eastAsia="宋体" w:hAnsi="宋体" w:cs="宋体"/>
                <w:sz w:val="18"/>
                <w:szCs w:val="18"/>
              </w:rPr>
              <w:t>分配利润为3,174,324,436.71元。</w:t>
            </w:r>
          </w:p>
          <w:p w:rsidR="00BD1BB9" w:rsidRDefault="00452DEF" w:rsidP="00AD17BB">
            <w:pPr>
              <w:spacing w:line="276" w:lineRule="auto"/>
              <w:ind w:firstLineChars="200" w:firstLine="360"/>
              <w:jc w:val="both"/>
              <w:rPr>
                <w:rFonts w:ascii="宋体" w:eastAsia="宋体" w:hAnsi="宋体" w:cs="宋体"/>
                <w:sz w:val="18"/>
                <w:szCs w:val="18"/>
              </w:rPr>
            </w:pPr>
            <w:r>
              <w:rPr>
                <w:rFonts w:ascii="宋体" w:eastAsia="宋体" w:hAnsi="宋体" w:cs="宋体"/>
                <w:sz w:val="18"/>
                <w:szCs w:val="18"/>
              </w:rPr>
              <w:t>公司2025年半年度利润分配方案为：以实施利润分配方案时股权登记日的总股本为基数，向全体股东每10股派发现金红利0.20元（含税），本次分配公司不送红股也不进行资本公积金转增股本。截至2025年6月30日，公司总股本为886,012,887股，据此测算，拟派发现金红利总额为</w:t>
            </w:r>
            <w:bookmarkStart w:id="56" w:name="OLE_LINK3"/>
            <w:bookmarkStart w:id="57" w:name="OLE_LINK4"/>
            <w:r>
              <w:rPr>
                <w:rFonts w:ascii="宋体" w:eastAsia="宋体" w:hAnsi="宋体" w:cs="宋体"/>
                <w:sz w:val="18"/>
                <w:szCs w:val="18"/>
              </w:rPr>
              <w:t>17,720,257.74</w:t>
            </w:r>
            <w:bookmarkEnd w:id="56"/>
            <w:bookmarkEnd w:id="57"/>
            <w:r>
              <w:rPr>
                <w:rFonts w:ascii="宋体" w:eastAsia="宋体" w:hAnsi="宋体" w:cs="宋体"/>
                <w:sz w:val="18"/>
                <w:szCs w:val="18"/>
              </w:rPr>
              <w:t>元（含税）。</w:t>
            </w:r>
          </w:p>
          <w:p w:rsidR="00BD1BB9" w:rsidRDefault="00452DEF" w:rsidP="00AD17BB">
            <w:pPr>
              <w:spacing w:line="276" w:lineRule="auto"/>
              <w:ind w:firstLineChars="200" w:firstLine="360"/>
              <w:jc w:val="both"/>
              <w:rPr>
                <w:rFonts w:ascii="宋体" w:eastAsia="宋体" w:hAnsi="宋体" w:cs="宋体"/>
                <w:sz w:val="18"/>
                <w:szCs w:val="18"/>
              </w:rPr>
            </w:pPr>
            <w:r>
              <w:rPr>
                <w:rFonts w:ascii="宋体" w:eastAsia="宋体" w:hAnsi="宋体" w:cs="宋体"/>
                <w:sz w:val="18"/>
                <w:szCs w:val="18"/>
              </w:rPr>
              <w:t>如本次利润分配方案披露之日起至实施权益分派股权登记日期间，公司总股本发生变动，公司将保持每股分配比例不变，相应调整分配总额。</w:t>
            </w:r>
          </w:p>
        </w:tc>
      </w:tr>
    </w:tbl>
    <w:p w:rsidR="00BD1BB9" w:rsidRDefault="00452DEF">
      <w:pPr>
        <w:pStyle w:val="2"/>
        <w:spacing w:before="300" w:after="300" w:line="320" w:lineRule="exact"/>
        <w:rPr>
          <w:rFonts w:ascii="宋体" w:eastAsia="宋体" w:hAnsi="宋体" w:cs="宋体"/>
          <w:b/>
          <w:bCs/>
          <w:sz w:val="24"/>
          <w:szCs w:val="24"/>
        </w:rPr>
      </w:pPr>
      <w:bookmarkStart w:id="58" w:name="_Toc988933"/>
      <w:r>
        <w:rPr>
          <w:rFonts w:ascii="宋体" w:eastAsia="宋体" w:hAnsi="宋体" w:cs="宋体"/>
          <w:b/>
          <w:bCs/>
          <w:sz w:val="24"/>
          <w:szCs w:val="24"/>
        </w:rPr>
        <w:t>三、公司股权激励计划、员工持股计划或其他员工激励措施的实施情况</w:t>
      </w:r>
      <w:bookmarkEnd w:id="58"/>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公司报告期无股权激励计划、员工持股计划或其他员工激励措施及其实施情况。</w:t>
      </w:r>
    </w:p>
    <w:p w:rsidR="00BD1BB9" w:rsidRDefault="00452DEF">
      <w:pPr>
        <w:pStyle w:val="2"/>
        <w:spacing w:before="300" w:after="300" w:line="320" w:lineRule="exact"/>
        <w:rPr>
          <w:rFonts w:ascii="宋体" w:eastAsia="宋体" w:hAnsi="宋体" w:cs="宋体"/>
          <w:b/>
          <w:bCs/>
          <w:sz w:val="24"/>
          <w:szCs w:val="24"/>
        </w:rPr>
      </w:pPr>
      <w:bookmarkStart w:id="59" w:name="_Toc988934"/>
      <w:r>
        <w:rPr>
          <w:rFonts w:ascii="宋体" w:eastAsia="宋体" w:hAnsi="宋体" w:cs="宋体"/>
          <w:b/>
          <w:bCs/>
          <w:sz w:val="24"/>
          <w:szCs w:val="24"/>
        </w:rPr>
        <w:t>四、环境信息披露情况</w:t>
      </w:r>
      <w:bookmarkEnd w:id="59"/>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上市公司及其主要子公司是否纳入环境信息依法披露企业名单</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642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纳入环境信息依法披露企业名单中的企业数量（家）</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序号</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企业名称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环境信息依法披露报告的查询索引</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江苏省污染源“一企一档”管理系统-“环保脸谱”企业端</w:t>
            </w:r>
          </w:p>
          <w:p w:rsidR="00BD1BB9" w:rsidRDefault="00452DEF">
            <w:pPr>
              <w:spacing w:line="240" w:lineRule="exact"/>
              <w:rPr>
                <w:rFonts w:ascii="宋体" w:eastAsia="宋体" w:hAnsi="宋体" w:cs="宋体"/>
                <w:sz w:val="18"/>
                <w:szCs w:val="18"/>
              </w:rPr>
            </w:pPr>
            <w:bookmarkStart w:id="60" w:name="OLE_LINK9"/>
            <w:bookmarkStart w:id="61" w:name="OLE_LINK10"/>
            <w:r>
              <w:rPr>
                <w:rFonts w:ascii="宋体" w:eastAsia="宋体" w:hAnsi="宋体" w:cs="宋体"/>
                <w:sz w:val="18"/>
                <w:szCs w:val="18"/>
              </w:rPr>
              <w:t>http://ywxt.sthjt.jiangsu.gov.cn:18181/spsarchive-webapp/web/viewRunner.html?viewId=http://218.94.78.91:18181/spsarchive-webapp/web/sps/views/yfpl/views/home/index.js</w:t>
            </w:r>
            <w:bookmarkEnd w:id="60"/>
            <w:bookmarkEnd w:id="61"/>
          </w:p>
        </w:tc>
      </w:tr>
    </w:tbl>
    <w:p w:rsidR="00BD1BB9" w:rsidRDefault="00452DEF">
      <w:pPr>
        <w:pStyle w:val="2"/>
        <w:spacing w:before="300" w:after="300" w:line="320" w:lineRule="exact"/>
        <w:rPr>
          <w:rFonts w:ascii="宋体" w:eastAsia="宋体" w:hAnsi="宋体" w:cs="宋体"/>
          <w:b/>
          <w:bCs/>
          <w:sz w:val="24"/>
          <w:szCs w:val="24"/>
        </w:rPr>
      </w:pPr>
      <w:bookmarkStart w:id="62" w:name="_Toc988935"/>
      <w:r>
        <w:rPr>
          <w:rFonts w:ascii="宋体" w:eastAsia="宋体" w:hAnsi="宋体" w:cs="宋体"/>
          <w:b/>
          <w:bCs/>
          <w:sz w:val="24"/>
          <w:szCs w:val="24"/>
        </w:rPr>
        <w:t>五、社会责任情况</w:t>
      </w:r>
      <w:bookmarkEnd w:id="62"/>
    </w:p>
    <w:p w:rsidR="004A3B7E" w:rsidRDefault="00452DEF" w:rsidP="00AD17BB">
      <w:pPr>
        <w:pStyle w:val="a3"/>
        <w:spacing w:before="0" w:beforeAutospacing="0" w:after="0" w:afterAutospacing="0" w:line="276" w:lineRule="auto"/>
        <w:ind w:firstLine="289"/>
        <w:jc w:val="both"/>
        <w:divId w:val="1622031481"/>
      </w:pPr>
      <w:r>
        <w:rPr>
          <w:rFonts w:hint="eastAsia"/>
          <w:sz w:val="18"/>
          <w:szCs w:val="18"/>
        </w:rPr>
        <w:t>报告期内，公司严格按照《公司法》《证券法》《深圳证券交易所股票上市规则》等法律法规、部门规章和《公司章程》的规定，规范公司治理结构和建立健全内部控制制度。公司将履行社会责任与日常经营活动紧密结合，重视保护股东、职工、供应商和客户等的合法权益，积极参与环境保护等工作，努力实现经济效益、社会效益和环境效益共赢，促进公司与社会的协调、和谐发展。</w:t>
      </w:r>
    </w:p>
    <w:p w:rsidR="004A3B7E" w:rsidRDefault="00452DEF" w:rsidP="00AD17BB">
      <w:pPr>
        <w:pStyle w:val="a3"/>
        <w:spacing w:before="0" w:beforeAutospacing="0" w:after="0" w:afterAutospacing="0" w:line="276" w:lineRule="auto"/>
        <w:ind w:firstLine="289"/>
        <w:jc w:val="both"/>
        <w:divId w:val="1622031481"/>
      </w:pPr>
      <w:r>
        <w:rPr>
          <w:rFonts w:hint="eastAsia"/>
          <w:sz w:val="18"/>
          <w:szCs w:val="18"/>
        </w:rPr>
        <w:t>（1）股东权益保护</w:t>
      </w:r>
    </w:p>
    <w:p w:rsidR="004A3B7E" w:rsidRDefault="00452DEF" w:rsidP="00AD17BB">
      <w:pPr>
        <w:pStyle w:val="a3"/>
        <w:spacing w:before="0" w:beforeAutospacing="0" w:after="0" w:afterAutospacing="0" w:line="276" w:lineRule="auto"/>
        <w:ind w:firstLine="289"/>
        <w:jc w:val="both"/>
        <w:divId w:val="1622031481"/>
      </w:pPr>
      <w:r>
        <w:rPr>
          <w:rFonts w:hint="eastAsia"/>
          <w:sz w:val="18"/>
          <w:szCs w:val="18"/>
        </w:rPr>
        <w:t>公司严格按照《公司法》《证券法》等相关法律、法规的要求，结合公司的实际情况，不断健全、完善公司法人治理结构和内部控制制度，充分保障投资者的各项权益。公司已建立了较为完善的内控体系，形成了以股东会、董事会及管理层为主体结构的决策与经营体系，规范公司运作；公司严格按照相关法律、法规、规范性文件及公司制度的规定，认真履行信息披露义务，通过指定媒体向广大投资者披露公司重大信息，确保广大投资者能够全面了解公司的运营情况，做出合理的投资决策。公司还为投资者提供了多元化的沟通渠道，通过热线电话、电子邮件、深交所互动易平台、网上业绩说明会等方式保持与广大投资者良性互动。</w:t>
      </w:r>
    </w:p>
    <w:p w:rsidR="004A3B7E" w:rsidRDefault="00452DEF" w:rsidP="00AD17BB">
      <w:pPr>
        <w:pStyle w:val="a3"/>
        <w:spacing w:before="0" w:beforeAutospacing="0" w:after="0" w:afterAutospacing="0" w:line="276" w:lineRule="auto"/>
        <w:ind w:firstLine="289"/>
        <w:jc w:val="both"/>
        <w:divId w:val="1622031481"/>
      </w:pPr>
      <w:r>
        <w:rPr>
          <w:rFonts w:hint="eastAsia"/>
          <w:sz w:val="18"/>
          <w:szCs w:val="18"/>
        </w:rPr>
        <w:t>建立合理的分红政策，是公司回报股东的重要方式。报告期内，公司根据自身的发展需要和经营状况，制定并实施了2024年度分红计划，确保股东共享公司发展成果。</w:t>
      </w:r>
    </w:p>
    <w:p w:rsidR="004A3B7E" w:rsidRDefault="00452DEF" w:rsidP="00AD17BB">
      <w:pPr>
        <w:pStyle w:val="a3"/>
        <w:spacing w:before="0" w:beforeAutospacing="0" w:after="0" w:afterAutospacing="0" w:line="276" w:lineRule="auto"/>
        <w:ind w:firstLine="289"/>
        <w:jc w:val="both"/>
        <w:divId w:val="1622031481"/>
      </w:pPr>
      <w:r>
        <w:rPr>
          <w:rFonts w:hint="eastAsia"/>
          <w:sz w:val="18"/>
          <w:szCs w:val="18"/>
        </w:rPr>
        <w:t>（2）职工权益保护</w:t>
      </w:r>
    </w:p>
    <w:p w:rsidR="004A3B7E" w:rsidRDefault="00452DEF" w:rsidP="00AD17BB">
      <w:pPr>
        <w:pStyle w:val="a3"/>
        <w:spacing w:before="0" w:beforeAutospacing="0" w:after="0" w:afterAutospacing="0" w:line="276" w:lineRule="auto"/>
        <w:ind w:firstLine="289"/>
        <w:jc w:val="both"/>
        <w:divId w:val="1622031481"/>
      </w:pPr>
      <w:r>
        <w:rPr>
          <w:rFonts w:hint="eastAsia"/>
          <w:sz w:val="18"/>
          <w:szCs w:val="18"/>
        </w:rPr>
        <w:t>公司严格遵守国家劳动法律法规，与职工签订劳动合同，明确双方的权利和义务。公司已建立了较为完善的薪酬考核体系，将员工的收入与贡献有效结合，提升了员工的工作积极性；公司积极开展员工职业技能培训，提升员工职业发展空间；公司围绕落实安全生产责任，强化安全生产管理，努力为职工创造良好的工作环境。</w:t>
      </w:r>
    </w:p>
    <w:p w:rsidR="004A3B7E" w:rsidRDefault="00452DEF" w:rsidP="00AD17BB">
      <w:pPr>
        <w:pStyle w:val="a3"/>
        <w:spacing w:before="0" w:beforeAutospacing="0" w:after="0" w:afterAutospacing="0" w:line="276" w:lineRule="auto"/>
        <w:ind w:firstLine="289"/>
        <w:jc w:val="both"/>
        <w:divId w:val="1622031481"/>
      </w:pPr>
      <w:r>
        <w:rPr>
          <w:rFonts w:hint="eastAsia"/>
          <w:sz w:val="18"/>
          <w:szCs w:val="18"/>
        </w:rPr>
        <w:t>（3）供应商及客户权益保护</w:t>
      </w:r>
    </w:p>
    <w:p w:rsidR="004A3B7E" w:rsidRDefault="00452DEF" w:rsidP="00AD17BB">
      <w:pPr>
        <w:pStyle w:val="a3"/>
        <w:spacing w:before="0" w:beforeAutospacing="0" w:after="0" w:afterAutospacing="0" w:line="276" w:lineRule="auto"/>
        <w:ind w:firstLine="289"/>
        <w:jc w:val="both"/>
        <w:divId w:val="1622031481"/>
      </w:pPr>
      <w:r>
        <w:rPr>
          <w:rFonts w:hint="eastAsia"/>
          <w:sz w:val="18"/>
          <w:szCs w:val="18"/>
        </w:rPr>
        <w:t>公司始终坚持诚信经营的原则，与客户和供应商建立长期稳定、互利共赢的合作关系。在合作过程中，遵守合同约定，按时履行义务，确保交易的公平、公正、公开。</w:t>
      </w:r>
    </w:p>
    <w:p w:rsidR="004A3B7E" w:rsidRDefault="00452DEF" w:rsidP="00AD17BB">
      <w:pPr>
        <w:pStyle w:val="a3"/>
        <w:spacing w:before="0" w:beforeAutospacing="0" w:after="0" w:afterAutospacing="0" w:line="276" w:lineRule="auto"/>
        <w:ind w:firstLine="289"/>
        <w:jc w:val="both"/>
        <w:divId w:val="1622031481"/>
      </w:pPr>
      <w:r>
        <w:rPr>
          <w:rFonts w:hint="eastAsia"/>
          <w:sz w:val="18"/>
          <w:szCs w:val="18"/>
        </w:rPr>
        <w:t>公司高度重视产品质量和服务水平的提升，满足客户的需求和期望。建立完善的质量管理体系，加强对产品生产、销售、售后等全过程的质量控制，确保产品质量安全可靠。同时，优化服务流程，提高服务效率，及时解决客户的问题和投诉，提升客户满意度。</w:t>
      </w:r>
    </w:p>
    <w:p w:rsidR="004A3B7E" w:rsidRDefault="00452DEF" w:rsidP="00AD17BB">
      <w:pPr>
        <w:pStyle w:val="a3"/>
        <w:spacing w:before="0" w:beforeAutospacing="0" w:after="0" w:afterAutospacing="0" w:line="276" w:lineRule="auto"/>
        <w:ind w:firstLine="289"/>
        <w:jc w:val="both"/>
        <w:divId w:val="1622031481"/>
      </w:pPr>
      <w:r>
        <w:rPr>
          <w:rFonts w:hint="eastAsia"/>
          <w:sz w:val="18"/>
          <w:szCs w:val="18"/>
        </w:rPr>
        <w:t>（4）环境保护与可持续发展</w:t>
      </w:r>
    </w:p>
    <w:p w:rsidR="004A3B7E" w:rsidRDefault="00452DEF" w:rsidP="00AD17BB">
      <w:pPr>
        <w:pStyle w:val="a3"/>
        <w:spacing w:before="0" w:beforeAutospacing="0" w:after="0" w:afterAutospacing="0" w:line="276" w:lineRule="auto"/>
        <w:ind w:firstLine="289"/>
        <w:jc w:val="both"/>
        <w:divId w:val="1622031481"/>
      </w:pPr>
      <w:r>
        <w:rPr>
          <w:rFonts w:hint="eastAsia"/>
          <w:sz w:val="18"/>
          <w:szCs w:val="18"/>
        </w:rPr>
        <w:t>当前，国内环保政策的导向是加强生态文明建设、推进绿色低碳发展。公司将环境保护纳入日常运营中，通过加大对环保技术研发和设备改造等投入，减少污染物排放，降低能源消耗，推动经济、社会和环境的协调发展。报告期内，公司通过了Ecovadis企业社会责任铜牌认证。</w:t>
      </w:r>
    </w:p>
    <w:p w:rsidR="00BD1BB9" w:rsidRDefault="00452DEF" w:rsidP="00AD17BB">
      <w:pPr>
        <w:spacing w:line="276" w:lineRule="auto"/>
      </w:pPr>
      <w:r>
        <w:br w:type="page"/>
      </w:r>
    </w:p>
    <w:p w:rsidR="00BD1BB9" w:rsidRDefault="00452DEF">
      <w:pPr>
        <w:pStyle w:val="headingh1"/>
        <w:spacing w:before="340" w:after="330" w:line="773" w:lineRule="exact"/>
        <w:jc w:val="center"/>
        <w:rPr>
          <w:rFonts w:ascii="宋体" w:eastAsia="宋体" w:hAnsi="宋体" w:cs="宋体"/>
          <w:b/>
          <w:bCs/>
          <w:sz w:val="32"/>
          <w:szCs w:val="32"/>
        </w:rPr>
      </w:pPr>
      <w:bookmarkStart w:id="63" w:name="_Toc988936"/>
      <w:r>
        <w:rPr>
          <w:rFonts w:ascii="宋体" w:eastAsia="宋体" w:hAnsi="宋体" w:cs="宋体"/>
          <w:b/>
          <w:bCs/>
          <w:sz w:val="32"/>
          <w:szCs w:val="32"/>
        </w:rPr>
        <w:lastRenderedPageBreak/>
        <w:t>第五节 重要事项</w:t>
      </w:r>
      <w:bookmarkEnd w:id="63"/>
    </w:p>
    <w:p w:rsidR="00BD1BB9" w:rsidRDefault="00452DEF">
      <w:pPr>
        <w:pStyle w:val="2"/>
        <w:spacing w:before="300" w:after="300" w:line="320" w:lineRule="exact"/>
        <w:rPr>
          <w:rFonts w:ascii="宋体" w:eastAsia="宋体" w:hAnsi="宋体" w:cs="宋体"/>
          <w:b/>
          <w:bCs/>
          <w:sz w:val="24"/>
          <w:szCs w:val="24"/>
        </w:rPr>
      </w:pPr>
      <w:bookmarkStart w:id="64" w:name="_Toc988937"/>
      <w:r>
        <w:rPr>
          <w:rFonts w:ascii="宋体" w:eastAsia="宋体" w:hAnsi="宋体" w:cs="宋体"/>
          <w:b/>
          <w:bCs/>
          <w:sz w:val="24"/>
          <w:szCs w:val="24"/>
        </w:rPr>
        <w:t>一、公司实际控制人、股东、关联方、收购人以及公司等承诺相关方在报告期内履行完毕及截至报告期末超期未履行完毕的承诺事项</w:t>
      </w:r>
      <w:bookmarkEnd w:id="64"/>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公司报告期不存在由公司实际控制人、股东、关联方、收购人以及公司等承诺相关方在报告期内履行完毕及截至报告期末超期未履行完毕的承诺事项。</w:t>
      </w:r>
    </w:p>
    <w:p w:rsidR="00BD1BB9" w:rsidRDefault="00452DEF">
      <w:pPr>
        <w:pStyle w:val="2"/>
        <w:spacing w:before="300" w:after="300" w:line="320" w:lineRule="exact"/>
        <w:rPr>
          <w:rFonts w:ascii="宋体" w:eastAsia="宋体" w:hAnsi="宋体" w:cs="宋体"/>
          <w:b/>
          <w:bCs/>
          <w:sz w:val="24"/>
          <w:szCs w:val="24"/>
        </w:rPr>
      </w:pPr>
      <w:bookmarkStart w:id="65" w:name="_Toc988938"/>
      <w:r>
        <w:rPr>
          <w:rFonts w:ascii="宋体" w:eastAsia="宋体" w:hAnsi="宋体" w:cs="宋体"/>
          <w:b/>
          <w:bCs/>
          <w:sz w:val="24"/>
          <w:szCs w:val="24"/>
        </w:rPr>
        <w:t>二、控股股东及其他关联方对上市公司的非经营性占用资金情况</w:t>
      </w:r>
      <w:bookmarkEnd w:id="65"/>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公司报告期不存在控股股东及其他关联方对上市公司的非经营性占用资金。</w:t>
      </w:r>
    </w:p>
    <w:p w:rsidR="00BD1BB9" w:rsidRDefault="00452DEF">
      <w:pPr>
        <w:pStyle w:val="2"/>
        <w:spacing w:before="300" w:after="300" w:line="320" w:lineRule="exact"/>
        <w:rPr>
          <w:rFonts w:ascii="宋体" w:eastAsia="宋体" w:hAnsi="宋体" w:cs="宋体"/>
          <w:b/>
          <w:bCs/>
          <w:sz w:val="24"/>
          <w:szCs w:val="24"/>
        </w:rPr>
      </w:pPr>
      <w:bookmarkStart w:id="66" w:name="_Toc988939"/>
      <w:r>
        <w:rPr>
          <w:rFonts w:ascii="宋体" w:eastAsia="宋体" w:hAnsi="宋体" w:cs="宋体"/>
          <w:b/>
          <w:bCs/>
          <w:sz w:val="24"/>
          <w:szCs w:val="24"/>
        </w:rPr>
        <w:t>三、违规对外担保情况</w:t>
      </w:r>
      <w:bookmarkEnd w:id="66"/>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公司报告期无违规对外担保情况。</w:t>
      </w:r>
    </w:p>
    <w:p w:rsidR="00BD1BB9" w:rsidRDefault="00452DEF">
      <w:pPr>
        <w:pStyle w:val="2"/>
        <w:spacing w:before="300" w:after="300" w:line="320" w:lineRule="exact"/>
        <w:rPr>
          <w:rFonts w:ascii="宋体" w:eastAsia="宋体" w:hAnsi="宋体" w:cs="宋体"/>
          <w:b/>
          <w:bCs/>
          <w:sz w:val="24"/>
          <w:szCs w:val="24"/>
        </w:rPr>
      </w:pPr>
      <w:bookmarkStart w:id="67" w:name="_Toc988940"/>
      <w:r>
        <w:rPr>
          <w:rFonts w:ascii="宋体" w:eastAsia="宋体" w:hAnsi="宋体" w:cs="宋体"/>
          <w:b/>
          <w:bCs/>
          <w:sz w:val="24"/>
          <w:szCs w:val="24"/>
        </w:rPr>
        <w:t>四、聘任、解聘会计师事务所情况</w:t>
      </w:r>
      <w:bookmarkEnd w:id="67"/>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半年度财务报告是否已经审计</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公司半年度报告未经审计。</w:t>
      </w:r>
    </w:p>
    <w:p w:rsidR="00BD1BB9" w:rsidRDefault="00452DEF">
      <w:pPr>
        <w:pStyle w:val="2"/>
        <w:spacing w:before="300" w:after="300" w:line="320" w:lineRule="exact"/>
        <w:rPr>
          <w:rFonts w:ascii="宋体" w:eastAsia="宋体" w:hAnsi="宋体" w:cs="宋体"/>
          <w:b/>
          <w:bCs/>
          <w:sz w:val="24"/>
          <w:szCs w:val="24"/>
        </w:rPr>
      </w:pPr>
      <w:bookmarkStart w:id="68" w:name="_Toc988941"/>
      <w:r>
        <w:rPr>
          <w:rFonts w:ascii="宋体" w:eastAsia="宋体" w:hAnsi="宋体" w:cs="宋体"/>
          <w:b/>
          <w:bCs/>
          <w:sz w:val="24"/>
          <w:szCs w:val="24"/>
        </w:rPr>
        <w:t>五、董事会对会计师事务所本报告期“非标准审计报告”的说明</w:t>
      </w:r>
      <w:bookmarkEnd w:id="68"/>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69" w:name="_Toc988942"/>
      <w:r>
        <w:rPr>
          <w:rFonts w:ascii="宋体" w:eastAsia="宋体" w:hAnsi="宋体" w:cs="宋体"/>
          <w:b/>
          <w:bCs/>
          <w:sz w:val="24"/>
          <w:szCs w:val="24"/>
        </w:rPr>
        <w:t>六、董事会对上年度“非标准审计报告”相关情况的说明</w:t>
      </w:r>
      <w:bookmarkEnd w:id="69"/>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70" w:name="_Toc988943"/>
      <w:r>
        <w:rPr>
          <w:rFonts w:ascii="宋体" w:eastAsia="宋体" w:hAnsi="宋体" w:cs="宋体"/>
          <w:b/>
          <w:bCs/>
          <w:sz w:val="24"/>
          <w:szCs w:val="24"/>
        </w:rPr>
        <w:t>七、破产重整相关事项</w:t>
      </w:r>
      <w:bookmarkEnd w:id="70"/>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公司报告期未发生破产重整相关事项。</w:t>
      </w:r>
    </w:p>
    <w:p w:rsidR="00BD1BB9" w:rsidRDefault="00452DEF">
      <w:pPr>
        <w:pStyle w:val="2"/>
        <w:spacing w:before="300" w:after="300" w:line="320" w:lineRule="exact"/>
        <w:rPr>
          <w:rFonts w:ascii="宋体" w:eastAsia="宋体" w:hAnsi="宋体" w:cs="宋体"/>
          <w:b/>
          <w:bCs/>
          <w:sz w:val="24"/>
          <w:szCs w:val="24"/>
        </w:rPr>
      </w:pPr>
      <w:bookmarkStart w:id="71" w:name="_Toc988944"/>
      <w:r>
        <w:rPr>
          <w:rFonts w:ascii="宋体" w:eastAsia="宋体" w:hAnsi="宋体" w:cs="宋体"/>
          <w:b/>
          <w:bCs/>
          <w:sz w:val="24"/>
          <w:szCs w:val="24"/>
        </w:rPr>
        <w:t>八、诉讼事项</w:t>
      </w:r>
      <w:bookmarkEnd w:id="71"/>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重大诉讼仲裁事项</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本报告期公司无重大诉讼、仲裁事项。</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其他诉讼事项</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72" w:name="_Toc988945"/>
      <w:r>
        <w:rPr>
          <w:rFonts w:ascii="宋体" w:eastAsia="宋体" w:hAnsi="宋体" w:cs="宋体"/>
          <w:b/>
          <w:bCs/>
          <w:sz w:val="24"/>
          <w:szCs w:val="24"/>
        </w:rPr>
        <w:lastRenderedPageBreak/>
        <w:t>九、处罚及整改情况</w:t>
      </w:r>
      <w:bookmarkEnd w:id="72"/>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公司报告期不存在处罚及整改情况。</w:t>
      </w:r>
    </w:p>
    <w:p w:rsidR="00BD1BB9" w:rsidRDefault="00452DEF">
      <w:pPr>
        <w:pStyle w:val="2"/>
        <w:spacing w:before="300" w:after="300" w:line="320" w:lineRule="exact"/>
        <w:rPr>
          <w:rFonts w:ascii="宋体" w:eastAsia="宋体" w:hAnsi="宋体" w:cs="宋体"/>
          <w:b/>
          <w:bCs/>
          <w:sz w:val="24"/>
          <w:szCs w:val="24"/>
        </w:rPr>
      </w:pPr>
      <w:bookmarkStart w:id="73" w:name="_Toc988946"/>
      <w:r>
        <w:rPr>
          <w:rFonts w:ascii="宋体" w:eastAsia="宋体" w:hAnsi="宋体" w:cs="宋体"/>
          <w:b/>
          <w:bCs/>
          <w:sz w:val="24"/>
          <w:szCs w:val="24"/>
        </w:rPr>
        <w:t>十、公司及其控股股东、实际控制人的诚信状况</w:t>
      </w:r>
      <w:bookmarkEnd w:id="73"/>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74" w:name="_Toc988947"/>
      <w:r>
        <w:rPr>
          <w:rFonts w:ascii="宋体" w:eastAsia="宋体" w:hAnsi="宋体" w:cs="宋体"/>
          <w:b/>
          <w:bCs/>
          <w:sz w:val="24"/>
          <w:szCs w:val="24"/>
        </w:rPr>
        <w:t>十一、重大关联交易</w:t>
      </w:r>
      <w:bookmarkEnd w:id="74"/>
    </w:p>
    <w:p w:rsidR="00BD1BB9" w:rsidRDefault="00452DEF">
      <w:pPr>
        <w:pStyle w:val="3"/>
        <w:spacing w:line="280" w:lineRule="exact"/>
        <w:jc w:val="left"/>
        <w:rPr>
          <w:rFonts w:ascii="宋体" w:hAnsi="宋体" w:cs="宋体"/>
          <w:b/>
          <w:bCs/>
        </w:rPr>
      </w:pPr>
      <w:bookmarkStart w:id="75" w:name="_Toc988948"/>
      <w:r>
        <w:rPr>
          <w:rFonts w:ascii="宋体" w:hAnsi="宋体" w:cs="宋体"/>
          <w:b/>
          <w:bCs/>
        </w:rPr>
        <w:t>1、与日常经营相关的关联交易</w:t>
      </w:r>
      <w:bookmarkEnd w:id="75"/>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公司报告期未发生与日常经营相关的</w:t>
      </w:r>
      <w:r w:rsidR="00AD17BB">
        <w:rPr>
          <w:rFonts w:ascii="宋体" w:eastAsia="宋体" w:hAnsi="宋体" w:cs="宋体"/>
          <w:sz w:val="18"/>
          <w:szCs w:val="18"/>
        </w:rPr>
        <w:t>重大</w:t>
      </w:r>
      <w:r>
        <w:rPr>
          <w:rFonts w:ascii="宋体" w:eastAsia="宋体" w:hAnsi="宋体" w:cs="宋体"/>
          <w:sz w:val="18"/>
          <w:szCs w:val="18"/>
        </w:rPr>
        <w:t>关联交易。</w:t>
      </w:r>
    </w:p>
    <w:p w:rsidR="00BD1BB9" w:rsidRDefault="00452DEF">
      <w:pPr>
        <w:pStyle w:val="3"/>
        <w:spacing w:line="280" w:lineRule="exact"/>
        <w:jc w:val="left"/>
        <w:rPr>
          <w:rFonts w:ascii="宋体" w:hAnsi="宋体" w:cs="宋体"/>
          <w:b/>
          <w:bCs/>
        </w:rPr>
      </w:pPr>
      <w:bookmarkStart w:id="76" w:name="_Toc988949"/>
      <w:r>
        <w:rPr>
          <w:rFonts w:ascii="宋体" w:hAnsi="宋体" w:cs="宋体"/>
          <w:b/>
          <w:bCs/>
        </w:rPr>
        <w:t>2、资产或股权收购、出售发生的关联交易</w:t>
      </w:r>
      <w:bookmarkEnd w:id="76"/>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公司报告期未发生资产或股权收购、出售的关联交易。</w:t>
      </w:r>
    </w:p>
    <w:p w:rsidR="00BD1BB9" w:rsidRDefault="00452DEF">
      <w:pPr>
        <w:pStyle w:val="3"/>
        <w:spacing w:line="280" w:lineRule="exact"/>
        <w:jc w:val="left"/>
        <w:rPr>
          <w:rFonts w:ascii="宋体" w:hAnsi="宋体" w:cs="宋体"/>
          <w:b/>
          <w:bCs/>
        </w:rPr>
      </w:pPr>
      <w:bookmarkStart w:id="77" w:name="_Toc988950"/>
      <w:r>
        <w:rPr>
          <w:rFonts w:ascii="宋体" w:hAnsi="宋体" w:cs="宋体"/>
          <w:b/>
          <w:bCs/>
        </w:rPr>
        <w:t>3、共同对外投资的关联交易</w:t>
      </w:r>
      <w:bookmarkEnd w:id="77"/>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公司报告期未发生共同对外投资的关联交易。</w:t>
      </w:r>
    </w:p>
    <w:p w:rsidR="00BD1BB9" w:rsidRDefault="00452DEF">
      <w:pPr>
        <w:pStyle w:val="3"/>
        <w:spacing w:line="280" w:lineRule="exact"/>
        <w:jc w:val="left"/>
        <w:rPr>
          <w:rFonts w:ascii="宋体" w:hAnsi="宋体" w:cs="宋体"/>
          <w:b/>
          <w:bCs/>
        </w:rPr>
      </w:pPr>
      <w:bookmarkStart w:id="78" w:name="_Toc988951"/>
      <w:r>
        <w:rPr>
          <w:rFonts w:ascii="宋体" w:hAnsi="宋体" w:cs="宋体"/>
          <w:b/>
          <w:bCs/>
        </w:rPr>
        <w:t>4、关联债权债务往来</w:t>
      </w:r>
      <w:bookmarkEnd w:id="78"/>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公司报告期不存在关联债权债务往来。</w:t>
      </w:r>
    </w:p>
    <w:p w:rsidR="00BD1BB9" w:rsidRDefault="00452DEF">
      <w:pPr>
        <w:pStyle w:val="3"/>
        <w:spacing w:line="280" w:lineRule="exact"/>
        <w:jc w:val="left"/>
        <w:rPr>
          <w:rFonts w:ascii="宋体" w:hAnsi="宋体" w:cs="宋体"/>
          <w:b/>
          <w:bCs/>
        </w:rPr>
      </w:pPr>
      <w:bookmarkStart w:id="79" w:name="_Toc988952"/>
      <w:r>
        <w:rPr>
          <w:rFonts w:ascii="宋体" w:hAnsi="宋体" w:cs="宋体"/>
          <w:b/>
          <w:bCs/>
        </w:rPr>
        <w:t>5、与存在关联关系的财务公司的往来情况</w:t>
      </w:r>
      <w:bookmarkEnd w:id="79"/>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存款业务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314"/>
        <w:gridCol w:w="1096"/>
        <w:gridCol w:w="1205"/>
        <w:gridCol w:w="1205"/>
        <w:gridCol w:w="1205"/>
      </w:tblGrid>
      <w:tr w:rsidR="00BD1BB9" w:rsidTr="00AD17BB">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关联关系</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每日最高存款限额（万元）</w:t>
            </w:r>
          </w:p>
        </w:tc>
        <w:tc>
          <w:tcPr>
            <w:tcW w:w="131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存款利率范围</w:t>
            </w:r>
          </w:p>
        </w:tc>
        <w:tc>
          <w:tcPr>
            <w:tcW w:w="109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期初余额（万元）</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期末余额（万元）</w:t>
            </w:r>
          </w:p>
        </w:tc>
      </w:tr>
      <w:tr w:rsidR="00BD1BB9" w:rsidTr="00AD17BB">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1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9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本期合计存入金额（万元）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本期合计取出金额（万元）</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rsidTr="00AD17BB">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同一母公司</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131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0.35%-1.15%</w:t>
            </w:r>
          </w:p>
        </w:tc>
        <w:tc>
          <w:tcPr>
            <w:tcW w:w="109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68.8</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68.8</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BD1BB9" w:rsidRDefault="00452DEF">
      <w:pPr>
        <w:pStyle w:val="3"/>
        <w:spacing w:line="280" w:lineRule="exact"/>
        <w:jc w:val="left"/>
        <w:rPr>
          <w:rFonts w:ascii="宋体" w:hAnsi="宋体" w:cs="宋体"/>
          <w:b/>
          <w:bCs/>
        </w:rPr>
      </w:pPr>
      <w:bookmarkStart w:id="80" w:name="_Toc988953"/>
      <w:r>
        <w:rPr>
          <w:rFonts w:ascii="宋体" w:hAnsi="宋体" w:cs="宋体"/>
          <w:b/>
          <w:bCs/>
        </w:rPr>
        <w:t>6、公司控股的财务公司与关联方的往来情况</w:t>
      </w:r>
      <w:bookmarkEnd w:id="80"/>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3"/>
        <w:spacing w:line="280" w:lineRule="exact"/>
        <w:jc w:val="left"/>
        <w:rPr>
          <w:rFonts w:ascii="宋体" w:hAnsi="宋体" w:cs="宋体"/>
          <w:b/>
          <w:bCs/>
        </w:rPr>
      </w:pPr>
      <w:bookmarkStart w:id="81" w:name="_Toc988954"/>
      <w:r>
        <w:rPr>
          <w:rFonts w:ascii="宋体" w:hAnsi="宋体" w:cs="宋体"/>
          <w:b/>
          <w:bCs/>
        </w:rPr>
        <w:lastRenderedPageBreak/>
        <w:t>7、其他重大关联交易</w:t>
      </w:r>
      <w:bookmarkEnd w:id="81"/>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4A3B7E" w:rsidRDefault="00452DEF">
      <w:pPr>
        <w:pStyle w:val="a3"/>
        <w:divId w:val="63450502"/>
      </w:pPr>
      <w:r>
        <w:rPr>
          <w:rFonts w:hint="eastAsia"/>
          <w:sz w:val="18"/>
          <w:szCs w:val="18"/>
        </w:rPr>
        <w:t>报告期内，公司与关联方发生的与日常经营相关的关联交易详见“第八节 财务报告”之“十四、关联方及关联交易”。</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重大关联交易临时报告披露网站相关查询</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临时公告披露日期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临时公告披露网站名称</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AD17BB">
            <w:pPr>
              <w:spacing w:line="276" w:lineRule="auto"/>
              <w:rPr>
                <w:rFonts w:ascii="宋体" w:eastAsia="宋体" w:hAnsi="宋体" w:cs="宋体"/>
                <w:sz w:val="18"/>
                <w:szCs w:val="18"/>
              </w:rPr>
            </w:pPr>
            <w:r>
              <w:rPr>
                <w:rFonts w:ascii="宋体" w:eastAsia="宋体" w:hAnsi="宋体" w:cs="宋体"/>
                <w:sz w:val="18"/>
                <w:szCs w:val="18"/>
              </w:rPr>
              <w:t>关于2025年度日常关联交易预计公告（公告编号：2025-009）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AD17BB">
            <w:pPr>
              <w:spacing w:line="276" w:lineRule="auto"/>
              <w:rPr>
                <w:rFonts w:ascii="宋体" w:eastAsia="宋体" w:hAnsi="宋体" w:cs="宋体"/>
                <w:sz w:val="18"/>
                <w:szCs w:val="18"/>
              </w:rPr>
            </w:pPr>
            <w:r>
              <w:rPr>
                <w:rFonts w:ascii="宋体" w:eastAsia="宋体" w:hAnsi="宋体" w:cs="宋体"/>
                <w:sz w:val="18"/>
                <w:szCs w:val="18"/>
              </w:rPr>
              <w:t>2025年04月29日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AD17BB">
            <w:pPr>
              <w:spacing w:line="276" w:lineRule="auto"/>
              <w:rPr>
                <w:rFonts w:ascii="宋体" w:eastAsia="宋体" w:hAnsi="宋体" w:cs="宋体"/>
                <w:sz w:val="18"/>
                <w:szCs w:val="18"/>
              </w:rPr>
            </w:pPr>
            <w:r>
              <w:rPr>
                <w:rFonts w:ascii="宋体" w:eastAsia="宋体" w:hAnsi="宋体" w:cs="宋体"/>
                <w:sz w:val="18"/>
                <w:szCs w:val="18"/>
              </w:rPr>
              <w:t>巨潮资讯网</w:t>
            </w:r>
          </w:p>
        </w:tc>
      </w:tr>
    </w:tbl>
    <w:p w:rsidR="00BD1BB9" w:rsidRDefault="00452DEF">
      <w:pPr>
        <w:pStyle w:val="2"/>
        <w:spacing w:before="300" w:after="300" w:line="320" w:lineRule="exact"/>
        <w:rPr>
          <w:rFonts w:ascii="宋体" w:eastAsia="宋体" w:hAnsi="宋体" w:cs="宋体"/>
          <w:b/>
          <w:bCs/>
          <w:sz w:val="24"/>
          <w:szCs w:val="24"/>
        </w:rPr>
      </w:pPr>
      <w:bookmarkStart w:id="82" w:name="_Toc988955"/>
      <w:r>
        <w:rPr>
          <w:rFonts w:ascii="宋体" w:eastAsia="宋体" w:hAnsi="宋体" w:cs="宋体"/>
          <w:b/>
          <w:bCs/>
          <w:sz w:val="24"/>
          <w:szCs w:val="24"/>
        </w:rPr>
        <w:t>十二、重大合同及其履行情况</w:t>
      </w:r>
      <w:bookmarkEnd w:id="82"/>
    </w:p>
    <w:p w:rsidR="00BD1BB9" w:rsidRDefault="00452DEF">
      <w:pPr>
        <w:pStyle w:val="3"/>
        <w:spacing w:line="280" w:lineRule="exact"/>
        <w:jc w:val="left"/>
        <w:rPr>
          <w:rFonts w:ascii="宋体" w:hAnsi="宋体" w:cs="宋体"/>
          <w:b/>
          <w:bCs/>
        </w:rPr>
      </w:pPr>
      <w:bookmarkStart w:id="83" w:name="_Toc988956"/>
      <w:r>
        <w:rPr>
          <w:rFonts w:ascii="宋体" w:hAnsi="宋体" w:cs="宋体"/>
          <w:b/>
          <w:bCs/>
        </w:rPr>
        <w:t>1、托管、承包、租赁事项情况</w:t>
      </w:r>
      <w:bookmarkEnd w:id="83"/>
    </w:p>
    <w:p w:rsidR="00BD1BB9" w:rsidRDefault="00452DEF">
      <w:pPr>
        <w:keepNext/>
        <w:keepLines/>
        <w:spacing w:before="300" w:after="300" w:line="280" w:lineRule="exact"/>
        <w:outlineLvl w:val="3"/>
        <w:rPr>
          <w:rFonts w:ascii="宋体" w:eastAsia="宋体" w:hAnsi="宋体" w:cs="宋体"/>
          <w:b/>
          <w:bCs/>
          <w:sz w:val="18"/>
          <w:szCs w:val="18"/>
        </w:rPr>
      </w:pPr>
      <w:bookmarkStart w:id="84" w:name="_Toc988957"/>
      <w:r>
        <w:rPr>
          <w:rFonts w:ascii="宋体" w:eastAsia="宋体" w:hAnsi="宋体" w:cs="宋体"/>
          <w:b/>
          <w:bCs/>
          <w:sz w:val="18"/>
          <w:szCs w:val="18"/>
        </w:rPr>
        <w:t>（1） 托管情况</w:t>
      </w:r>
      <w:bookmarkEnd w:id="84"/>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公司报告期不存在托管情况。</w:t>
      </w:r>
    </w:p>
    <w:p w:rsidR="00BD1BB9" w:rsidRDefault="00452DEF">
      <w:pPr>
        <w:keepNext/>
        <w:keepLines/>
        <w:spacing w:before="300" w:after="300" w:line="280" w:lineRule="exact"/>
        <w:outlineLvl w:val="3"/>
        <w:rPr>
          <w:rFonts w:ascii="宋体" w:eastAsia="宋体" w:hAnsi="宋体" w:cs="宋体"/>
          <w:b/>
          <w:bCs/>
          <w:sz w:val="18"/>
          <w:szCs w:val="18"/>
        </w:rPr>
      </w:pPr>
      <w:bookmarkStart w:id="85" w:name="_Toc988958"/>
      <w:r>
        <w:rPr>
          <w:rFonts w:ascii="宋体" w:eastAsia="宋体" w:hAnsi="宋体" w:cs="宋体"/>
          <w:b/>
          <w:bCs/>
          <w:sz w:val="18"/>
          <w:szCs w:val="18"/>
        </w:rPr>
        <w:t>（2） 承包情况</w:t>
      </w:r>
      <w:bookmarkEnd w:id="85"/>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公司报告期不存在承包情况。</w:t>
      </w:r>
    </w:p>
    <w:p w:rsidR="00BD1BB9" w:rsidRDefault="00452DEF">
      <w:pPr>
        <w:keepNext/>
        <w:keepLines/>
        <w:spacing w:before="300" w:after="300" w:line="280" w:lineRule="exact"/>
        <w:outlineLvl w:val="3"/>
        <w:rPr>
          <w:rFonts w:ascii="宋体" w:eastAsia="宋体" w:hAnsi="宋体" w:cs="宋体"/>
          <w:b/>
          <w:bCs/>
          <w:sz w:val="18"/>
          <w:szCs w:val="18"/>
        </w:rPr>
      </w:pPr>
      <w:bookmarkStart w:id="86" w:name="_Toc988959"/>
      <w:r>
        <w:rPr>
          <w:rFonts w:ascii="宋体" w:eastAsia="宋体" w:hAnsi="宋体" w:cs="宋体"/>
          <w:b/>
          <w:bCs/>
          <w:sz w:val="18"/>
          <w:szCs w:val="18"/>
        </w:rPr>
        <w:t>（3） 租赁情况</w:t>
      </w:r>
      <w:bookmarkEnd w:id="86"/>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公司报告期不存在租赁情况。</w:t>
      </w:r>
    </w:p>
    <w:p w:rsidR="00BD1BB9" w:rsidRDefault="00452DEF">
      <w:pPr>
        <w:pStyle w:val="3"/>
        <w:spacing w:line="280" w:lineRule="exact"/>
        <w:jc w:val="left"/>
        <w:rPr>
          <w:rFonts w:ascii="宋体" w:hAnsi="宋体" w:cs="宋体"/>
          <w:b/>
          <w:bCs/>
        </w:rPr>
      </w:pPr>
      <w:bookmarkStart w:id="87" w:name="_Toc988960"/>
      <w:r>
        <w:rPr>
          <w:rFonts w:ascii="宋体" w:hAnsi="宋体" w:cs="宋体"/>
          <w:b/>
          <w:bCs/>
        </w:rPr>
        <w:t>2、重大担保</w:t>
      </w:r>
      <w:bookmarkEnd w:id="87"/>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7"/>
        <w:gridCol w:w="876"/>
        <w:gridCol w:w="877"/>
        <w:gridCol w:w="876"/>
        <w:gridCol w:w="877"/>
        <w:gridCol w:w="876"/>
        <w:gridCol w:w="876"/>
        <w:gridCol w:w="876"/>
        <w:gridCol w:w="876"/>
        <w:gridCol w:w="877"/>
      </w:tblGrid>
      <w:tr w:rsidR="00BD1BB9">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公司及其子公司对外担保情况（不包括对子公司的担保）</w:t>
            </w:r>
          </w:p>
        </w:tc>
      </w:tr>
      <w:tr w:rsidR="00BD1BB9" w:rsidTr="00AD17BB">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AD17BB" w:rsidTr="00927F8D">
        <w:trPr>
          <w:trHeight w:val="240"/>
        </w:trPr>
        <w:tc>
          <w:tcPr>
            <w:tcW w:w="875" w:type="dxa"/>
            <w:vMerge w:val="restart"/>
            <w:tcBorders>
              <w:top w:val="single" w:sz="2" w:space="0" w:color="auto"/>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77" w:type="dxa"/>
            <w:vMerge w:val="restart"/>
            <w:tcBorders>
              <w:top w:val="single" w:sz="2" w:space="0" w:color="auto"/>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45,000</w:t>
            </w:r>
          </w:p>
          <w:p w:rsidR="00CB70B5" w:rsidRDefault="00CB70B5">
            <w:pPr>
              <w:spacing w:line="240" w:lineRule="exact"/>
              <w:jc w:val="right"/>
              <w:rPr>
                <w:rFonts w:ascii="宋体" w:eastAsia="宋体" w:hAnsi="宋体" w:cs="宋体"/>
                <w:sz w:val="18"/>
                <w:szCs w:val="18"/>
              </w:rPr>
            </w:pPr>
            <w:r>
              <w:rPr>
                <w:rFonts w:ascii="宋体" w:eastAsia="宋体" w:hAnsi="宋体" w:cs="宋体" w:hint="eastAsia"/>
                <w:sz w:val="18"/>
                <w:szCs w:val="18"/>
              </w:rPr>
              <w:t>（注）</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2024年01月10日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至2025-01-09</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2024年02月01日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9,950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至2025-01-22</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2024年02月01日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9,883</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至2025-01-23</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2024年</w:t>
            </w:r>
            <w:r>
              <w:rPr>
                <w:rFonts w:ascii="宋体" w:eastAsia="宋体" w:hAnsi="宋体" w:cs="宋体"/>
                <w:sz w:val="18"/>
                <w:szCs w:val="18"/>
              </w:rPr>
              <w:lastRenderedPageBreak/>
              <w:t>11月15日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lastRenderedPageBreak/>
              <w:t>10,000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w:t>
            </w:r>
            <w:r>
              <w:rPr>
                <w:rFonts w:ascii="宋体" w:eastAsia="宋体" w:hAnsi="宋体" w:cs="宋体"/>
                <w:sz w:val="18"/>
                <w:szCs w:val="18"/>
              </w:rPr>
              <w:lastRenderedPageBreak/>
              <w:t>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w:t>
            </w:r>
            <w:r>
              <w:rPr>
                <w:rFonts w:ascii="宋体" w:eastAsia="宋体" w:hAnsi="宋体" w:cs="宋体"/>
                <w:sz w:val="18"/>
                <w:szCs w:val="18"/>
              </w:rPr>
              <w:lastRenderedPageBreak/>
              <w:t>2025-04-01</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lastRenderedPageBreak/>
              <w:t>是</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2024年11月15日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至2025-04-01</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2024年12月12日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至2025-12-10</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2024年12月12日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至2025-12-10</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2025年01月10日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至2026-01-08</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2025年01月22日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9,950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至2026-01-19</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2025年01月23日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9,813</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至2026-01-21</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2025年04月01日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至2026-03-30</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tcBorders>
              <w:left w:val="single" w:sz="2" w:space="0" w:color="auto"/>
              <w:bottom w:val="single" w:sz="2" w:space="0" w:color="auto"/>
              <w:right w:val="single" w:sz="2" w:space="0" w:color="auto"/>
            </w:tcBorders>
            <w:vAlign w:val="center"/>
          </w:tcPr>
          <w:p w:rsidR="00AD17BB" w:rsidRDefault="00AD17BB" w:rsidP="00927F8D">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2025年04月01日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至2026-03-30</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val="restart"/>
            <w:tcBorders>
              <w:top w:val="single" w:sz="2" w:space="0" w:color="auto"/>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2024年10月17日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至2025-10-17</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927F8D">
        <w:trPr>
          <w:trHeight w:val="240"/>
        </w:trPr>
        <w:tc>
          <w:tcPr>
            <w:tcW w:w="875" w:type="dxa"/>
            <w:vMerge/>
            <w:tcBorders>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2024年09月10日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至2025-09-10</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CB70B5" w:rsidTr="00927F8D">
        <w:trPr>
          <w:trHeight w:val="240"/>
        </w:trPr>
        <w:tc>
          <w:tcPr>
            <w:tcW w:w="875" w:type="dxa"/>
            <w:vMerge w:val="restart"/>
            <w:tcBorders>
              <w:top w:val="single" w:sz="2" w:space="0" w:color="auto"/>
              <w:left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CB70B5" w:rsidRDefault="00CB70B5">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2024年03月25日</w:t>
            </w: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jc w:val="right"/>
              <w:rPr>
                <w:rFonts w:ascii="宋体" w:eastAsia="宋体" w:hAnsi="宋体" w:cs="宋体"/>
                <w:sz w:val="18"/>
                <w:szCs w:val="18"/>
              </w:rPr>
            </w:pPr>
            <w:r>
              <w:rPr>
                <w:rFonts w:ascii="宋体" w:eastAsia="宋体" w:hAnsi="宋体" w:cs="宋体"/>
                <w:sz w:val="18"/>
                <w:szCs w:val="18"/>
              </w:rPr>
              <w:t>2,926.95</w:t>
            </w:r>
          </w:p>
        </w:tc>
        <w:tc>
          <w:tcPr>
            <w:tcW w:w="877"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rsidP="00F972CA">
            <w:pPr>
              <w:spacing w:line="240" w:lineRule="exact"/>
              <w:rPr>
                <w:rFonts w:ascii="宋体" w:eastAsia="宋体" w:hAnsi="宋体" w:cs="宋体"/>
                <w:sz w:val="18"/>
                <w:szCs w:val="18"/>
              </w:rPr>
            </w:pPr>
            <w:r>
              <w:rPr>
                <w:rFonts w:ascii="宋体" w:eastAsia="宋体" w:hAnsi="宋体" w:cs="宋体"/>
                <w:sz w:val="18"/>
                <w:szCs w:val="18"/>
              </w:rPr>
              <w:t>至2025-03-</w:t>
            </w:r>
            <w:r w:rsidR="00F972CA">
              <w:rPr>
                <w:rFonts w:ascii="宋体" w:eastAsia="宋体" w:hAnsi="宋体" w:cs="宋体" w:hint="eastAsia"/>
                <w:sz w:val="18"/>
                <w:szCs w:val="18"/>
              </w:rPr>
              <w:t>0</w:t>
            </w:r>
            <w:r>
              <w:rPr>
                <w:rFonts w:ascii="宋体" w:eastAsia="宋体" w:hAnsi="宋体" w:cs="宋体"/>
                <w:sz w:val="18"/>
                <w:szCs w:val="18"/>
              </w:rPr>
              <w:t>4</w:t>
            </w: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是</w:t>
            </w:r>
          </w:p>
        </w:tc>
      </w:tr>
      <w:tr w:rsidR="00CB70B5" w:rsidTr="00927F8D">
        <w:trPr>
          <w:trHeight w:val="240"/>
        </w:trPr>
        <w:tc>
          <w:tcPr>
            <w:tcW w:w="875" w:type="dxa"/>
            <w:vMerge/>
            <w:tcBorders>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CB70B5" w:rsidRDefault="00CB70B5">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2025年03月04日</w:t>
            </w: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jc w:val="right"/>
              <w:rPr>
                <w:rFonts w:ascii="宋体" w:eastAsia="宋体" w:hAnsi="宋体" w:cs="宋体"/>
                <w:sz w:val="18"/>
                <w:szCs w:val="18"/>
              </w:rPr>
            </w:pPr>
            <w:r>
              <w:rPr>
                <w:rFonts w:ascii="宋体" w:eastAsia="宋体" w:hAnsi="宋体" w:cs="宋体"/>
                <w:sz w:val="18"/>
                <w:szCs w:val="18"/>
              </w:rPr>
              <w:t>2,926.95</w:t>
            </w:r>
          </w:p>
        </w:tc>
        <w:tc>
          <w:tcPr>
            <w:tcW w:w="877"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至2026-03-03</w:t>
            </w: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AD17BB">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2024年11月12日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至2025-11-10</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CB70B5" w:rsidTr="00927F8D">
        <w:trPr>
          <w:trHeight w:val="240"/>
        </w:trPr>
        <w:tc>
          <w:tcPr>
            <w:tcW w:w="875" w:type="dxa"/>
            <w:vMerge w:val="restart"/>
            <w:tcBorders>
              <w:top w:val="single" w:sz="2" w:space="0" w:color="auto"/>
              <w:left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CB70B5" w:rsidRDefault="00CB70B5">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2024年07月23日</w:t>
            </w: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jc w:val="right"/>
              <w:rPr>
                <w:rFonts w:ascii="宋体" w:eastAsia="宋体" w:hAnsi="宋体" w:cs="宋体"/>
                <w:sz w:val="18"/>
                <w:szCs w:val="18"/>
              </w:rPr>
            </w:pPr>
            <w:r>
              <w:rPr>
                <w:rFonts w:ascii="宋体" w:eastAsia="宋体" w:hAnsi="宋体" w:cs="宋体"/>
                <w:sz w:val="18"/>
                <w:szCs w:val="18"/>
              </w:rPr>
              <w:t>6,483</w:t>
            </w:r>
          </w:p>
        </w:tc>
        <w:tc>
          <w:tcPr>
            <w:tcW w:w="877"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至2025-01-22</w:t>
            </w: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是</w:t>
            </w:r>
          </w:p>
        </w:tc>
      </w:tr>
      <w:tr w:rsidR="00CB70B5" w:rsidTr="00927F8D">
        <w:trPr>
          <w:trHeight w:val="240"/>
        </w:trPr>
        <w:tc>
          <w:tcPr>
            <w:tcW w:w="875" w:type="dxa"/>
            <w:vMerge/>
            <w:tcBorders>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CB70B5" w:rsidRDefault="00CB70B5">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2025年01月22日</w:t>
            </w: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jc w:val="right"/>
              <w:rPr>
                <w:rFonts w:ascii="宋体" w:eastAsia="宋体" w:hAnsi="宋体" w:cs="宋体"/>
                <w:sz w:val="18"/>
                <w:szCs w:val="18"/>
              </w:rPr>
            </w:pPr>
            <w:r>
              <w:rPr>
                <w:rFonts w:ascii="宋体" w:eastAsia="宋体" w:hAnsi="宋体" w:cs="宋体"/>
                <w:sz w:val="18"/>
                <w:szCs w:val="18"/>
              </w:rPr>
              <w:t>6,476</w:t>
            </w:r>
          </w:p>
        </w:tc>
        <w:tc>
          <w:tcPr>
            <w:tcW w:w="877"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至2025-07-22</w:t>
            </w:r>
          </w:p>
        </w:tc>
        <w:tc>
          <w:tcPr>
            <w:tcW w:w="876"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CB70B5" w:rsidRDefault="00CB70B5">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AD17BB">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18,500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至2026-03-29</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是</w:t>
            </w:r>
          </w:p>
        </w:tc>
      </w:tr>
      <w:tr w:rsidR="00AD17BB" w:rsidTr="00AD17BB">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rPr>
                <w:rFonts w:ascii="宋体" w:eastAsia="宋体" w:hAnsi="宋体" w:cs="宋体"/>
                <w:sz w:val="18"/>
                <w:szCs w:val="18"/>
              </w:rPr>
            </w:pPr>
            <w:r>
              <w:rPr>
                <w:rFonts w:ascii="宋体" w:eastAsia="宋体" w:hAnsi="宋体" w:cs="宋体"/>
                <w:sz w:val="18"/>
                <w:szCs w:val="18"/>
              </w:rPr>
              <w:t>报告期内审批的对外担保额度合计（A1）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rPr>
                <w:rFonts w:ascii="宋体" w:eastAsia="宋体" w:hAnsi="宋体" w:cs="宋体"/>
                <w:sz w:val="18"/>
                <w:szCs w:val="18"/>
              </w:rPr>
            </w:pPr>
            <w:r>
              <w:rPr>
                <w:rFonts w:ascii="宋体" w:eastAsia="宋体" w:hAnsi="宋体" w:cs="宋体"/>
                <w:sz w:val="18"/>
                <w:szCs w:val="18"/>
              </w:rPr>
              <w:t>报告期内对外担保实际发生额合计（A2）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59,165.95</w:t>
            </w:r>
          </w:p>
        </w:tc>
      </w:tr>
      <w:tr w:rsidR="00AD17BB" w:rsidTr="00AD17BB">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报告期末已审批的对外担保额度合计</w:t>
            </w:r>
            <w:r>
              <w:rPr>
                <w:rFonts w:ascii="宋体" w:eastAsia="宋体" w:hAnsi="宋体" w:cs="宋体"/>
                <w:sz w:val="18"/>
                <w:szCs w:val="18"/>
              </w:rPr>
              <w:lastRenderedPageBreak/>
              <w:t>（A3）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lastRenderedPageBreak/>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rPr>
                <w:rFonts w:ascii="宋体" w:eastAsia="宋体" w:hAnsi="宋体" w:cs="宋体"/>
                <w:sz w:val="18"/>
                <w:szCs w:val="18"/>
              </w:rPr>
            </w:pPr>
            <w:r>
              <w:rPr>
                <w:rFonts w:ascii="宋体" w:eastAsia="宋体" w:hAnsi="宋体" w:cs="宋体"/>
                <w:sz w:val="18"/>
                <w:szCs w:val="18"/>
              </w:rPr>
              <w:t>报告期末实际对外担保余额合计</w:t>
            </w:r>
            <w:r>
              <w:rPr>
                <w:rFonts w:ascii="宋体" w:eastAsia="宋体" w:hAnsi="宋体" w:cs="宋体"/>
                <w:sz w:val="18"/>
                <w:szCs w:val="18"/>
              </w:rPr>
              <w:lastRenderedPageBreak/>
              <w:t>（A4）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lastRenderedPageBreak/>
              <w:t>84,902.95</w:t>
            </w:r>
          </w:p>
        </w:tc>
      </w:tr>
      <w:tr w:rsidR="00AD17BB">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公司对子公司的担保情况</w:t>
            </w:r>
          </w:p>
        </w:tc>
      </w:tr>
      <w:tr w:rsidR="00AD17BB" w:rsidTr="00AD17BB">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D17BB" w:rsidRDefault="00AD17BB">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AD17BB" w:rsidTr="00AD17BB">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2023年05月16日</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AD17BB" w:rsidRDefault="00AD17BB">
            <w:pPr>
              <w:spacing w:line="240" w:lineRule="exact"/>
              <w:rPr>
                <w:rFonts w:ascii="宋体" w:eastAsia="宋体" w:hAnsi="宋体" w:cs="宋体"/>
                <w:sz w:val="18"/>
                <w:szCs w:val="18"/>
              </w:rPr>
            </w:pPr>
            <w:r>
              <w:rPr>
                <w:rFonts w:ascii="宋体" w:eastAsia="宋体" w:hAnsi="宋体" w:cs="宋体"/>
                <w:sz w:val="18"/>
                <w:szCs w:val="18"/>
              </w:rPr>
              <w:t>否</w:t>
            </w:r>
          </w:p>
        </w:tc>
      </w:tr>
      <w:tr w:rsidR="00411396" w:rsidTr="00DE732E">
        <w:trPr>
          <w:trHeight w:val="240"/>
        </w:trPr>
        <w:tc>
          <w:tcPr>
            <w:tcW w:w="875" w:type="dxa"/>
            <w:vMerge w:val="restart"/>
            <w:tcBorders>
              <w:top w:val="single" w:sz="2" w:space="0" w:color="auto"/>
              <w:left w:val="single" w:sz="2" w:space="0" w:color="auto"/>
              <w:right w:val="single" w:sz="2" w:space="0" w:color="auto"/>
            </w:tcBorders>
            <w:vAlign w:val="center"/>
          </w:tcPr>
          <w:p w:rsidR="00411396" w:rsidRDefault="00411396">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vMerge w:val="restart"/>
            <w:tcBorders>
              <w:top w:val="single" w:sz="2" w:space="0" w:color="auto"/>
              <w:left w:val="single" w:sz="2" w:space="0" w:color="auto"/>
              <w:right w:val="single" w:sz="2" w:space="0" w:color="auto"/>
            </w:tcBorders>
            <w:vAlign w:val="center"/>
          </w:tcPr>
          <w:p w:rsidR="00411396" w:rsidRDefault="00411396">
            <w:pPr>
              <w:spacing w:line="240" w:lineRule="exact"/>
              <w:rPr>
                <w:rFonts w:ascii="宋体" w:eastAsia="宋体" w:hAnsi="宋体" w:cs="宋体"/>
                <w:sz w:val="18"/>
                <w:szCs w:val="18"/>
              </w:rPr>
            </w:pPr>
            <w:r>
              <w:rPr>
                <w:rFonts w:ascii="宋体" w:eastAsia="宋体" w:hAnsi="宋体" w:cs="宋体"/>
                <w:sz w:val="18"/>
                <w:szCs w:val="18"/>
              </w:rPr>
              <w:t>2022年12月09日</w:t>
            </w:r>
          </w:p>
        </w:tc>
        <w:tc>
          <w:tcPr>
            <w:tcW w:w="876" w:type="dxa"/>
            <w:vMerge w:val="restart"/>
            <w:tcBorders>
              <w:top w:val="single" w:sz="2" w:space="0" w:color="auto"/>
              <w:left w:val="single" w:sz="2" w:space="0" w:color="auto"/>
              <w:right w:val="single" w:sz="2" w:space="0" w:color="auto"/>
            </w:tcBorders>
            <w:vAlign w:val="center"/>
          </w:tcPr>
          <w:p w:rsidR="00411396" w:rsidRDefault="00411396">
            <w:pPr>
              <w:spacing w:line="240" w:lineRule="exact"/>
              <w:jc w:val="right"/>
              <w:rPr>
                <w:rFonts w:ascii="宋体" w:eastAsia="宋体" w:hAnsi="宋体" w:cs="宋体"/>
                <w:sz w:val="18"/>
                <w:szCs w:val="18"/>
              </w:rPr>
            </w:pPr>
            <w:r>
              <w:rPr>
                <w:rFonts w:ascii="宋体" w:eastAsia="宋体" w:hAnsi="宋体" w:cs="宋体"/>
                <w:sz w:val="18"/>
                <w:szCs w:val="18"/>
              </w:rPr>
              <w:t>30,000</w:t>
            </w:r>
          </w:p>
        </w:tc>
        <w:tc>
          <w:tcPr>
            <w:tcW w:w="877" w:type="dxa"/>
            <w:tcBorders>
              <w:top w:val="single" w:sz="2" w:space="0" w:color="auto"/>
              <w:left w:val="single" w:sz="2" w:space="0" w:color="auto"/>
              <w:bottom w:val="single" w:sz="2" w:space="0" w:color="auto"/>
              <w:right w:val="single" w:sz="2" w:space="0" w:color="auto"/>
            </w:tcBorders>
            <w:vAlign w:val="center"/>
          </w:tcPr>
          <w:p w:rsidR="00411396" w:rsidRDefault="00411396">
            <w:pPr>
              <w:spacing w:line="240" w:lineRule="exact"/>
              <w:rPr>
                <w:rFonts w:ascii="宋体" w:eastAsia="宋体" w:hAnsi="宋体" w:cs="宋体"/>
                <w:sz w:val="18"/>
                <w:szCs w:val="18"/>
              </w:rPr>
            </w:pPr>
            <w:r>
              <w:rPr>
                <w:rFonts w:ascii="宋体" w:eastAsia="宋体" w:hAnsi="宋体" w:cs="宋体" w:hint="eastAsia"/>
                <w:sz w:val="18"/>
                <w:szCs w:val="18"/>
              </w:rPr>
              <w:t>2025年1-6月</w:t>
            </w:r>
          </w:p>
        </w:tc>
        <w:tc>
          <w:tcPr>
            <w:tcW w:w="876" w:type="dxa"/>
            <w:tcBorders>
              <w:top w:val="single" w:sz="2" w:space="0" w:color="auto"/>
              <w:left w:val="single" w:sz="2" w:space="0" w:color="auto"/>
              <w:bottom w:val="single" w:sz="2" w:space="0" w:color="auto"/>
              <w:right w:val="single" w:sz="2" w:space="0" w:color="auto"/>
            </w:tcBorders>
            <w:vAlign w:val="center"/>
          </w:tcPr>
          <w:p w:rsidR="00411396" w:rsidRDefault="00411396">
            <w:pPr>
              <w:spacing w:line="240" w:lineRule="exact"/>
              <w:jc w:val="right"/>
              <w:rPr>
                <w:rFonts w:ascii="宋体" w:eastAsia="宋体" w:hAnsi="宋体" w:cs="宋体"/>
                <w:sz w:val="18"/>
                <w:szCs w:val="18"/>
              </w:rPr>
            </w:pPr>
            <w:r>
              <w:rPr>
                <w:rFonts w:ascii="宋体" w:eastAsia="宋体" w:hAnsi="宋体" w:cs="宋体" w:hint="eastAsia"/>
                <w:sz w:val="18"/>
                <w:szCs w:val="18"/>
              </w:rPr>
              <w:t>6,264.77</w:t>
            </w:r>
          </w:p>
        </w:tc>
        <w:tc>
          <w:tcPr>
            <w:tcW w:w="877" w:type="dxa"/>
            <w:tcBorders>
              <w:top w:val="single" w:sz="2" w:space="0" w:color="auto"/>
              <w:left w:val="single" w:sz="2" w:space="0" w:color="auto"/>
              <w:bottom w:val="single" w:sz="2" w:space="0" w:color="auto"/>
              <w:right w:val="single" w:sz="2" w:space="0" w:color="auto"/>
            </w:tcBorders>
            <w:vAlign w:val="center"/>
          </w:tcPr>
          <w:p w:rsidR="00411396" w:rsidRDefault="0041139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411396" w:rsidRDefault="0041139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11396" w:rsidRDefault="0041139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11396" w:rsidRDefault="0041139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11396" w:rsidRDefault="001C46CF">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411396" w:rsidRDefault="00411396">
            <w:pPr>
              <w:spacing w:line="240" w:lineRule="exact"/>
              <w:rPr>
                <w:rFonts w:ascii="宋体" w:eastAsia="宋体" w:hAnsi="宋体" w:cs="宋体"/>
                <w:sz w:val="18"/>
                <w:szCs w:val="18"/>
              </w:rPr>
            </w:pPr>
            <w:r>
              <w:rPr>
                <w:rFonts w:ascii="宋体" w:eastAsia="宋体" w:hAnsi="宋体" w:cs="宋体"/>
                <w:sz w:val="18"/>
                <w:szCs w:val="18"/>
              </w:rPr>
              <w:t>否</w:t>
            </w:r>
          </w:p>
        </w:tc>
      </w:tr>
      <w:tr w:rsidR="001C46CF" w:rsidTr="00DE732E">
        <w:trPr>
          <w:trHeight w:val="240"/>
        </w:trPr>
        <w:tc>
          <w:tcPr>
            <w:tcW w:w="875" w:type="dxa"/>
            <w:vMerge/>
            <w:tcBorders>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hint="eastAsia"/>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1C46CF" w:rsidRDefault="001C46CF" w:rsidP="00DE732E">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r>
              <w:rPr>
                <w:rFonts w:ascii="宋体" w:eastAsia="宋体" w:hAnsi="宋体" w:cs="宋体"/>
                <w:sz w:val="18"/>
                <w:szCs w:val="18"/>
              </w:rPr>
              <w:t>否</w:t>
            </w:r>
          </w:p>
        </w:tc>
      </w:tr>
      <w:tr w:rsidR="001C46CF" w:rsidTr="00AD17BB">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r>
              <w:rPr>
                <w:rFonts w:ascii="宋体" w:eastAsia="宋体" w:hAnsi="宋体" w:cs="宋体"/>
                <w:sz w:val="18"/>
                <w:szCs w:val="18"/>
              </w:rPr>
              <w:t>2025年05月10日</w:t>
            </w:r>
          </w:p>
        </w:tc>
        <w:tc>
          <w:tcPr>
            <w:tcW w:w="876"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13,000</w:t>
            </w:r>
          </w:p>
        </w:tc>
        <w:tc>
          <w:tcPr>
            <w:tcW w:w="877"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r>
              <w:rPr>
                <w:rFonts w:ascii="宋体" w:eastAsia="宋体" w:hAnsi="宋体" w:cs="宋体"/>
                <w:sz w:val="18"/>
                <w:szCs w:val="18"/>
              </w:rPr>
              <w:t>否</w:t>
            </w:r>
          </w:p>
        </w:tc>
      </w:tr>
      <w:tr w:rsidR="001C46CF" w:rsidTr="00AD17BB">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报告期内审批对子公司担保额度合计（B1）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13,000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报告期内对子公司担保实际发生额合计（B2）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6,264.77</w:t>
            </w:r>
          </w:p>
        </w:tc>
      </w:tr>
      <w:tr w:rsidR="001C46CF" w:rsidTr="00AD17BB">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报告期末已审批的对子公司担保额度合计（B3）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63,000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报告期末对子公司实际担保余额合计（B4）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C46CF">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子公司对子公司的担保情况</w:t>
            </w:r>
          </w:p>
        </w:tc>
      </w:tr>
      <w:tr w:rsidR="001C46CF" w:rsidTr="005935B9">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1C46CF" w:rsidTr="005935B9">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C46CF" w:rsidRDefault="001C46CF" w:rsidP="005935B9">
            <w:pPr>
              <w:spacing w:before="40" w:after="40" w:line="240" w:lineRule="exact"/>
              <w:rPr>
                <w:rFonts w:ascii="宋体" w:eastAsia="宋体" w:hAnsi="宋体" w:cs="宋体"/>
                <w:sz w:val="18"/>
                <w:szCs w:val="18"/>
              </w:rPr>
            </w:pPr>
            <w:r>
              <w:rPr>
                <w:rFonts w:ascii="宋体" w:eastAsia="宋体" w:hAnsi="宋体" w:cs="宋体"/>
                <w:sz w:val="18"/>
                <w:szCs w:val="18"/>
              </w:rPr>
              <w:t>不适用。</w:t>
            </w:r>
          </w:p>
        </w:tc>
      </w:tr>
      <w:tr w:rsidR="001C46CF">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jc w:val="center"/>
              <w:rPr>
                <w:rFonts w:ascii="宋体" w:eastAsia="宋体" w:hAnsi="宋体" w:cs="宋体"/>
                <w:sz w:val="18"/>
                <w:szCs w:val="18"/>
              </w:rPr>
            </w:pPr>
            <w:r>
              <w:rPr>
                <w:rFonts w:ascii="宋体" w:eastAsia="宋体" w:hAnsi="宋体" w:cs="宋体"/>
                <w:sz w:val="18"/>
                <w:szCs w:val="18"/>
              </w:rPr>
              <w:t>公司担保总额（即前三大项的合计）</w:t>
            </w:r>
          </w:p>
        </w:tc>
      </w:tr>
      <w:tr w:rsidR="001C46CF" w:rsidTr="00AD17BB">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报告期内审批担保额度合计（A1+B1+C1）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13,000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报告期内担保实际发生额合计（A2+B2+C2）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65,430.72</w:t>
            </w:r>
          </w:p>
        </w:tc>
      </w:tr>
      <w:tr w:rsidR="001C46CF" w:rsidTr="00AD17BB">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报告期末已审批的担保额度合计（A3+B3+C3）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193,000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报告期末实际担保余额合计（A4+B4+C4）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84,902.95</w:t>
            </w:r>
          </w:p>
        </w:tc>
      </w:tr>
      <w:tr w:rsidR="001C46C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实际担保总额（即A4+B4+C4）占公司净资产的比例</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15.92%</w:t>
            </w:r>
          </w:p>
        </w:tc>
      </w:tr>
      <w:tr w:rsidR="001C46CF">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其中：</w:t>
            </w:r>
          </w:p>
        </w:tc>
      </w:tr>
      <w:tr w:rsidR="001C46C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为股东、实际控制人及其关联方提供担保的余额（D）</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84,902.95</w:t>
            </w:r>
          </w:p>
        </w:tc>
      </w:tr>
      <w:tr w:rsidR="001C46C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直接或间接为资产负债率超过70%的被担保对象提供的债务担保余额（E）</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C46C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担保总额超过净资产50%部分的金额（F）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C46C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上述三项担保金额合计（D+E+F）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jc w:val="right"/>
              <w:rPr>
                <w:rFonts w:ascii="宋体" w:eastAsia="宋体" w:hAnsi="宋体" w:cs="宋体"/>
                <w:sz w:val="18"/>
                <w:szCs w:val="18"/>
              </w:rPr>
            </w:pPr>
            <w:r>
              <w:rPr>
                <w:rFonts w:ascii="宋体" w:eastAsia="宋体" w:hAnsi="宋体" w:cs="宋体"/>
                <w:sz w:val="18"/>
                <w:szCs w:val="18"/>
              </w:rPr>
              <w:t>84,902.95</w:t>
            </w:r>
          </w:p>
        </w:tc>
      </w:tr>
      <w:tr w:rsidR="001C46C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对未到期担保合同，报告期内发生担保责任或有证据表明有可能承担连带清偿责任的情况说明（如有）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r>
              <w:rPr>
                <w:rFonts w:ascii="宋体" w:eastAsia="宋体" w:hAnsi="宋体" w:cs="宋体"/>
                <w:sz w:val="18"/>
                <w:szCs w:val="18"/>
              </w:rPr>
              <w:t>不适用。</w:t>
            </w:r>
          </w:p>
        </w:tc>
      </w:tr>
      <w:tr w:rsidR="001C46C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C46CF" w:rsidRDefault="001C46CF">
            <w:pPr>
              <w:spacing w:before="40" w:after="40" w:line="240" w:lineRule="exact"/>
              <w:rPr>
                <w:rFonts w:ascii="宋体" w:eastAsia="宋体" w:hAnsi="宋体" w:cs="宋体"/>
                <w:sz w:val="18"/>
                <w:szCs w:val="18"/>
              </w:rPr>
            </w:pPr>
            <w:r>
              <w:rPr>
                <w:rFonts w:ascii="宋体" w:eastAsia="宋体" w:hAnsi="宋体" w:cs="宋体"/>
                <w:sz w:val="18"/>
                <w:szCs w:val="18"/>
              </w:rPr>
              <w:t>违反规定程序对外提供担保的说明（如有）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1C46CF" w:rsidRDefault="001C46CF">
            <w:pPr>
              <w:spacing w:line="240" w:lineRule="exact"/>
              <w:rPr>
                <w:rFonts w:ascii="宋体" w:eastAsia="宋体" w:hAnsi="宋体" w:cs="宋体"/>
                <w:sz w:val="18"/>
                <w:szCs w:val="18"/>
              </w:rPr>
            </w:pPr>
            <w:r>
              <w:rPr>
                <w:rFonts w:ascii="宋体" w:eastAsia="宋体" w:hAnsi="宋体" w:cs="宋体"/>
                <w:sz w:val="18"/>
                <w:szCs w:val="18"/>
              </w:rPr>
              <w:t>不适用。</w:t>
            </w:r>
          </w:p>
        </w:tc>
      </w:tr>
    </w:tbl>
    <w:p w:rsidR="00CB70B5" w:rsidRDefault="00CB70B5" w:rsidP="00CB70B5">
      <w:pPr>
        <w:spacing w:before="100" w:after="100" w:line="240" w:lineRule="exact"/>
        <w:rPr>
          <w:rFonts w:ascii="宋体" w:eastAsia="宋体" w:hAnsi="宋体" w:cs="宋体"/>
          <w:sz w:val="18"/>
          <w:szCs w:val="18"/>
        </w:rPr>
      </w:pPr>
      <w:r>
        <w:rPr>
          <w:rFonts w:ascii="宋体" w:eastAsia="宋体" w:hAnsi="宋体" w:cs="宋体" w:hint="eastAsia"/>
          <w:sz w:val="18"/>
          <w:szCs w:val="18"/>
        </w:rPr>
        <w:lastRenderedPageBreak/>
        <w:t>注：该项实际担保总额为45,000万元。</w:t>
      </w:r>
    </w:p>
    <w:p w:rsidR="00CB70B5" w:rsidRPr="00CB70B5" w:rsidRDefault="00CB70B5">
      <w:pPr>
        <w:spacing w:before="100" w:after="100" w:line="240" w:lineRule="exact"/>
        <w:rPr>
          <w:rFonts w:ascii="宋体" w:eastAsia="宋体" w:hAnsi="宋体" w:cs="宋体"/>
          <w:sz w:val="18"/>
          <w:szCs w:val="18"/>
        </w:rPr>
      </w:pP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采用复合方式担保的具体情况说明</w:t>
      </w:r>
    </w:p>
    <w:p w:rsidR="004A3B7E" w:rsidRDefault="00CB70B5">
      <w:pPr>
        <w:divId w:val="302807818"/>
        <w:rPr>
          <w:sz w:val="18"/>
          <w:szCs w:val="18"/>
        </w:rPr>
      </w:pPr>
      <w:r>
        <w:rPr>
          <w:sz w:val="18"/>
          <w:szCs w:val="18"/>
        </w:rPr>
        <w:t>无。</w:t>
      </w:r>
    </w:p>
    <w:p w:rsidR="00BD1BB9" w:rsidRDefault="00452DEF">
      <w:pPr>
        <w:pStyle w:val="3"/>
        <w:spacing w:line="280" w:lineRule="exact"/>
        <w:jc w:val="left"/>
        <w:rPr>
          <w:rFonts w:ascii="宋体" w:hAnsi="宋体" w:cs="宋体"/>
          <w:b/>
          <w:bCs/>
        </w:rPr>
      </w:pPr>
      <w:bookmarkStart w:id="88" w:name="_Toc988961"/>
      <w:r>
        <w:rPr>
          <w:rFonts w:ascii="宋体" w:hAnsi="宋体" w:cs="宋体"/>
          <w:b/>
          <w:bCs/>
        </w:rPr>
        <w:t>3、委托理财</w:t>
      </w:r>
      <w:bookmarkEnd w:id="88"/>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8"/>
        <w:gridCol w:w="1606"/>
        <w:gridCol w:w="1606"/>
        <w:gridCol w:w="1606"/>
        <w:gridCol w:w="1606"/>
      </w:tblGrid>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具体类型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其他类</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1,317.22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1,225.09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1,317.22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1,225.09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单项金额重大或安全性较低、流动性较差的高风险委托理财具体情况</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委托理财出现预期无法收回本金或存在其他可能导致减值的情形</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3"/>
        <w:spacing w:line="280" w:lineRule="exact"/>
        <w:jc w:val="left"/>
        <w:rPr>
          <w:rFonts w:ascii="宋体" w:hAnsi="宋体" w:cs="宋体"/>
          <w:b/>
          <w:bCs/>
        </w:rPr>
      </w:pPr>
      <w:bookmarkStart w:id="89" w:name="_Toc988962"/>
      <w:r>
        <w:rPr>
          <w:rFonts w:ascii="宋体" w:hAnsi="宋体" w:cs="宋体"/>
          <w:b/>
          <w:bCs/>
        </w:rPr>
        <w:t>4、其他重大合同</w:t>
      </w:r>
      <w:bookmarkEnd w:id="89"/>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公司报告期不存在其他重大合同。</w:t>
      </w:r>
    </w:p>
    <w:p w:rsidR="00BD1BB9" w:rsidRDefault="00452DEF">
      <w:pPr>
        <w:pStyle w:val="2"/>
        <w:spacing w:before="300" w:after="300" w:line="320" w:lineRule="exact"/>
        <w:rPr>
          <w:rFonts w:ascii="宋体" w:eastAsia="宋体" w:hAnsi="宋体" w:cs="宋体"/>
          <w:b/>
          <w:bCs/>
          <w:sz w:val="24"/>
          <w:szCs w:val="24"/>
        </w:rPr>
      </w:pPr>
      <w:bookmarkStart w:id="90" w:name="_Toc988963"/>
      <w:r>
        <w:rPr>
          <w:rFonts w:ascii="宋体" w:eastAsia="宋体" w:hAnsi="宋体" w:cs="宋体"/>
          <w:b/>
          <w:bCs/>
          <w:sz w:val="24"/>
          <w:szCs w:val="24"/>
        </w:rPr>
        <w:t>十三、其他重大事项的说明</w:t>
      </w:r>
      <w:bookmarkEnd w:id="90"/>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4A3B7E" w:rsidRDefault="00452DEF" w:rsidP="00CB70B5">
      <w:pPr>
        <w:pStyle w:val="a3"/>
        <w:spacing w:before="0" w:beforeAutospacing="0" w:after="0" w:afterAutospacing="0" w:line="276" w:lineRule="auto"/>
        <w:ind w:firstLine="360"/>
        <w:divId w:val="1754736178"/>
      </w:pPr>
      <w:r>
        <w:rPr>
          <w:rFonts w:hint="eastAsia"/>
          <w:sz w:val="18"/>
          <w:szCs w:val="18"/>
        </w:rPr>
        <w:t>1、修订《公司章程》等事项</w:t>
      </w:r>
    </w:p>
    <w:p w:rsidR="004A3B7E" w:rsidRDefault="00452DEF" w:rsidP="00CB70B5">
      <w:pPr>
        <w:pStyle w:val="a3"/>
        <w:spacing w:before="0" w:beforeAutospacing="0" w:after="0" w:afterAutospacing="0" w:line="276" w:lineRule="auto"/>
        <w:ind w:firstLine="360"/>
        <w:divId w:val="1754736178"/>
      </w:pPr>
      <w:r>
        <w:rPr>
          <w:rFonts w:hint="eastAsia"/>
          <w:sz w:val="18"/>
          <w:szCs w:val="18"/>
        </w:rPr>
        <w:t>报告期内，根据 《中华人民共和国公司法》《上市公司章程指引（2025）》等有关法律、法规及规范性文件的规定， 公司结合实际，对《公司章程》部分条款进行了修订，同时修订了《股东会议事规则》《董事会议事规则》，并经公司第九届董事会第七次会议、2024年度股东会审议通过。详见公司于2025年4月29日、2025年5月24日刊登在《上海证券报》《证券时报》和巨潮资讯网上的《章程修正案》（公告编号：2025-013）、《第九届董事会第七次会议决议公告》（公告编号：2025-019）、《2024年度股东会决议公告》（公告编号：2025-028）等相关公告。</w:t>
      </w:r>
    </w:p>
    <w:p w:rsidR="00BD1BB9" w:rsidRDefault="00452DEF">
      <w:pPr>
        <w:pStyle w:val="2"/>
        <w:spacing w:before="300" w:after="300" w:line="320" w:lineRule="exact"/>
        <w:rPr>
          <w:rFonts w:ascii="宋体" w:eastAsia="宋体" w:hAnsi="宋体" w:cs="宋体"/>
          <w:b/>
          <w:bCs/>
          <w:sz w:val="24"/>
          <w:szCs w:val="24"/>
        </w:rPr>
      </w:pPr>
      <w:bookmarkStart w:id="91" w:name="_Toc988964"/>
      <w:r>
        <w:rPr>
          <w:rFonts w:ascii="宋体" w:eastAsia="宋体" w:hAnsi="宋体" w:cs="宋体"/>
          <w:b/>
          <w:bCs/>
          <w:sz w:val="24"/>
          <w:szCs w:val="24"/>
        </w:rPr>
        <w:t>十四、公司子公司重大事项</w:t>
      </w:r>
      <w:bookmarkEnd w:id="91"/>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4A3B7E" w:rsidRDefault="00452DEF" w:rsidP="00CB70B5">
      <w:pPr>
        <w:pStyle w:val="a3"/>
        <w:spacing w:before="0" w:beforeAutospacing="0" w:after="0" w:afterAutospacing="0" w:line="276" w:lineRule="auto"/>
        <w:ind w:firstLine="360"/>
        <w:divId w:val="1648122656"/>
      </w:pPr>
      <w:bookmarkStart w:id="92" w:name="OLE_LINK16"/>
      <w:r>
        <w:rPr>
          <w:rFonts w:hint="eastAsia"/>
          <w:sz w:val="18"/>
          <w:szCs w:val="18"/>
        </w:rPr>
        <w:t>报告期内，公司第九届董事会第九次会议审议通过了《关于转让参股公司股份的议案》，公司控制主体上海启澜拟将其持有的索尔思光电 556.03万股股份以及通过Diamond Hill, L.P.持有的5,993.62万股股份转让给超毅集团（香港）有限公司，合计转让6,549.65万股索尔思光电股份，转让总价款为20,026.86万美元。本次转让完成后，上海启澜不再持有索尔思光电股份。</w:t>
      </w:r>
    </w:p>
    <w:p w:rsidR="004A3B7E" w:rsidRDefault="00452DEF" w:rsidP="00CB70B5">
      <w:pPr>
        <w:pStyle w:val="a3"/>
        <w:spacing w:before="0" w:beforeAutospacing="0" w:after="0" w:afterAutospacing="0" w:line="276" w:lineRule="auto"/>
        <w:ind w:firstLine="360"/>
        <w:divId w:val="1648122656"/>
      </w:pPr>
      <w:r>
        <w:rPr>
          <w:rFonts w:hint="eastAsia"/>
          <w:sz w:val="18"/>
          <w:szCs w:val="18"/>
        </w:rPr>
        <w:t>2025年8月6日，公司2025年第一次临时股东会审议</w:t>
      </w:r>
      <w:r w:rsidR="002A452D">
        <w:rPr>
          <w:rFonts w:hint="eastAsia"/>
          <w:sz w:val="18"/>
          <w:szCs w:val="18"/>
        </w:rPr>
        <w:t>通过</w:t>
      </w:r>
      <w:r w:rsidR="00C7112E">
        <w:rPr>
          <w:rFonts w:hint="eastAsia"/>
          <w:sz w:val="18"/>
          <w:szCs w:val="18"/>
        </w:rPr>
        <w:t>了</w:t>
      </w:r>
      <w:r>
        <w:rPr>
          <w:rFonts w:hint="eastAsia"/>
          <w:sz w:val="18"/>
          <w:szCs w:val="18"/>
        </w:rPr>
        <w:t>上述议案。截至目前，该项转让尚在进展过程中。</w:t>
      </w:r>
    </w:p>
    <w:p w:rsidR="004A3B7E" w:rsidRDefault="00452DEF" w:rsidP="00CB70B5">
      <w:pPr>
        <w:pStyle w:val="a3"/>
        <w:spacing w:before="0" w:beforeAutospacing="0" w:after="0" w:afterAutospacing="0" w:line="276" w:lineRule="auto"/>
        <w:ind w:firstLine="360"/>
        <w:divId w:val="1648122656"/>
      </w:pPr>
      <w:r>
        <w:rPr>
          <w:rFonts w:hint="eastAsia"/>
          <w:sz w:val="18"/>
          <w:szCs w:val="18"/>
        </w:rPr>
        <w:lastRenderedPageBreak/>
        <w:t>详见公司于2025年6月14日、8月7日在《上海证券报》《证券时报》和巨潮资讯网披露的《关于转让参股公司股份的公告》（公告编号：2025-030）、《第九届董事会第九次会议决议公告》（公告编号：2025-031）、《2025年第一次临时股东会决议公告》（公告编号：2025-039）。</w:t>
      </w:r>
    </w:p>
    <w:bookmarkEnd w:id="92"/>
    <w:p w:rsidR="00BD1BB9" w:rsidRDefault="00452DEF">
      <w:r>
        <w:br w:type="page"/>
      </w:r>
    </w:p>
    <w:p w:rsidR="00BD1BB9" w:rsidRDefault="00452DEF">
      <w:pPr>
        <w:pStyle w:val="headingh1"/>
        <w:spacing w:before="340" w:after="330" w:line="773" w:lineRule="exact"/>
        <w:jc w:val="center"/>
        <w:rPr>
          <w:rFonts w:ascii="宋体" w:eastAsia="宋体" w:hAnsi="宋体" w:cs="宋体"/>
          <w:b/>
          <w:bCs/>
          <w:sz w:val="32"/>
          <w:szCs w:val="32"/>
        </w:rPr>
      </w:pPr>
      <w:bookmarkStart w:id="93" w:name="_Toc988965"/>
      <w:r>
        <w:rPr>
          <w:rFonts w:ascii="宋体" w:eastAsia="宋体" w:hAnsi="宋体" w:cs="宋体"/>
          <w:b/>
          <w:bCs/>
          <w:sz w:val="32"/>
          <w:szCs w:val="32"/>
        </w:rPr>
        <w:lastRenderedPageBreak/>
        <w:t>第六节 股份变动及股东情况</w:t>
      </w:r>
      <w:bookmarkEnd w:id="93"/>
    </w:p>
    <w:p w:rsidR="00BD1BB9" w:rsidRDefault="00452DEF">
      <w:pPr>
        <w:pStyle w:val="2"/>
        <w:spacing w:before="300" w:after="300" w:line="320" w:lineRule="exact"/>
        <w:rPr>
          <w:rFonts w:ascii="宋体" w:eastAsia="宋体" w:hAnsi="宋体" w:cs="宋体"/>
          <w:b/>
          <w:bCs/>
          <w:sz w:val="24"/>
          <w:szCs w:val="24"/>
        </w:rPr>
      </w:pPr>
      <w:bookmarkStart w:id="94" w:name="_Toc988966"/>
      <w:r>
        <w:rPr>
          <w:rFonts w:ascii="宋体" w:eastAsia="宋体" w:hAnsi="宋体" w:cs="宋体"/>
          <w:b/>
          <w:bCs/>
          <w:sz w:val="24"/>
          <w:szCs w:val="24"/>
        </w:rPr>
        <w:t>一、股份变动情况</w:t>
      </w:r>
      <w:bookmarkEnd w:id="94"/>
    </w:p>
    <w:p w:rsidR="00BD1BB9" w:rsidRDefault="00452DEF">
      <w:pPr>
        <w:pStyle w:val="3"/>
        <w:spacing w:line="280" w:lineRule="exact"/>
        <w:jc w:val="left"/>
        <w:rPr>
          <w:rFonts w:ascii="宋体" w:hAnsi="宋体" w:cs="宋体"/>
          <w:b/>
          <w:bCs/>
        </w:rPr>
      </w:pPr>
      <w:bookmarkStart w:id="95" w:name="_Toc988967"/>
      <w:r>
        <w:rPr>
          <w:rFonts w:ascii="宋体" w:hAnsi="宋体" w:cs="宋体"/>
          <w:b/>
          <w:bCs/>
        </w:rPr>
        <w:t>1、股份变动情况</w:t>
      </w:r>
      <w:bookmarkEnd w:id="95"/>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BD1BB9">
        <w:trPr>
          <w:trHeight w:val="240"/>
        </w:trPr>
        <w:tc>
          <w:tcPr>
            <w:tcW w:w="9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本次变动前</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本次变动后</w:t>
            </w:r>
          </w:p>
        </w:tc>
      </w:tr>
      <w:tr w:rsidR="00BD1BB9">
        <w:trPr>
          <w:trHeight w:val="240"/>
        </w:trPr>
        <w:tc>
          <w:tcPr>
            <w:tcW w:w="96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一、有限售条件股份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0.01%</w:t>
            </w: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1、国家持股</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2、国有法人持股</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3、其他内资持股</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0.01%</w:t>
            </w: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其中：境内法人持股</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境内自然人持股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0.01%</w:t>
            </w: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4、外资持股</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其中：境外法人持股</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境外自然人持股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二、无限售条件股份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885,887,337</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99.99%</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885,887,337</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99.99%</w:t>
            </w: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1、人民币普通股</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885,887,337</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99.99%</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885,887,337</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99.99%</w:t>
            </w: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2、境内上市的外资股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3、境外上市的外资股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4、其</w:t>
            </w:r>
            <w:r>
              <w:rPr>
                <w:rFonts w:ascii="宋体" w:eastAsia="宋体" w:hAnsi="宋体" w:cs="宋体"/>
                <w:sz w:val="18"/>
                <w:szCs w:val="18"/>
              </w:rPr>
              <w:lastRenderedPageBreak/>
              <w:t>他</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三、股份总数</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股份变动的原因</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股份变动的批准情况</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股份变动的过户情况</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股份回购的实施进展情况</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采用集中竞价方式减持回购股份的实施进展情况</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公司认为必要或证券监管机构要求披露的其他内容</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3"/>
        <w:spacing w:line="280" w:lineRule="exact"/>
        <w:jc w:val="left"/>
        <w:rPr>
          <w:rFonts w:ascii="宋体" w:hAnsi="宋体" w:cs="宋体"/>
          <w:b/>
          <w:bCs/>
        </w:rPr>
      </w:pPr>
      <w:bookmarkStart w:id="96" w:name="_Toc988968"/>
      <w:r>
        <w:rPr>
          <w:rFonts w:ascii="宋体" w:hAnsi="宋体" w:cs="宋体"/>
          <w:b/>
          <w:bCs/>
        </w:rPr>
        <w:t>2、限售股份变动情况</w:t>
      </w:r>
      <w:bookmarkEnd w:id="96"/>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97" w:name="_Toc988969"/>
      <w:r>
        <w:rPr>
          <w:rFonts w:ascii="宋体" w:eastAsia="宋体" w:hAnsi="宋体" w:cs="宋体"/>
          <w:b/>
          <w:bCs/>
          <w:sz w:val="24"/>
          <w:szCs w:val="24"/>
        </w:rPr>
        <w:t>二、证券发行与上市情况</w:t>
      </w:r>
      <w:bookmarkEnd w:id="97"/>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98" w:name="_Toc988970"/>
      <w:r>
        <w:rPr>
          <w:rFonts w:ascii="宋体" w:eastAsia="宋体" w:hAnsi="宋体" w:cs="宋体"/>
          <w:b/>
          <w:bCs/>
          <w:sz w:val="24"/>
          <w:szCs w:val="24"/>
        </w:rPr>
        <w:t>三、公司股东数量及持股情况</w:t>
      </w:r>
      <w:bookmarkEnd w:id="98"/>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770"/>
        <w:gridCol w:w="301"/>
        <w:gridCol w:w="1071"/>
        <w:gridCol w:w="1071"/>
      </w:tblGrid>
      <w:tr w:rsidR="00BD1BB9">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67,828</w:t>
            </w:r>
          </w:p>
        </w:tc>
        <w:tc>
          <w:tcPr>
            <w:tcW w:w="321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394281">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持股5%以上的股东或前10名股东持股情况（不含通过转融通出借股份）</w:t>
            </w:r>
          </w:p>
        </w:tc>
      </w:tr>
      <w:tr w:rsidR="00BD1BB9">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报告期末持股数量</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报告期内增减变动情况</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1071"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持有无限售条件的股份数量</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BD1BB9">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9.27%</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40,000,000</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境外法人</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0.72%</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6,407,578.00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2,118,783.00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6,407,578.00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杨光勇</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0.66%</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5,834,311.00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-78,000.00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5,834,311.00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lastRenderedPageBreak/>
              <w:t>吴大贵</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0.64%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5,714,700.00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5,714,700.00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5,714,700.00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陈杏英</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0.45%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4,000,000.00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4,000,000.00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陆增三</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0.34%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3,050,100.00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3,050,000.00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3,050,100.00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郑时明</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0.30%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2,685,700.00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2,685,700.00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2,685,700.00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林凯铭</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2,482,700.00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2,482,700.00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李新强</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0.25%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2,204,500.00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2,204,500.00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2,204,500.00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394281">
            <w:pPr>
              <w:spacing w:before="40" w:after="40" w:line="240" w:lineRule="exact"/>
              <w:rPr>
                <w:rFonts w:ascii="宋体" w:eastAsia="宋体" w:hAnsi="宋体" w:cs="宋体"/>
                <w:sz w:val="18"/>
                <w:szCs w:val="18"/>
              </w:rPr>
            </w:pPr>
            <w:r>
              <w:rPr>
                <w:rFonts w:ascii="宋体" w:eastAsia="宋体" w:hAnsi="宋体" w:cs="宋体"/>
                <w:sz w:val="18"/>
                <w:szCs w:val="18"/>
              </w:rPr>
              <w:t>战略投资者或一般法人因配售新股成为前10名股东的情况</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r>
      <w:tr w:rsidR="00BD1BB9">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江苏华西集团有限公司、江阴市凝秀建设投资发展有限公司受同一实际控制人控制，属于一致行动人。除此之外，公司未知其他股东之间是否存在关联关系，也未知其一致行动情况。</w:t>
            </w:r>
          </w:p>
        </w:tc>
      </w:tr>
      <w:tr w:rsidR="00BD1BB9">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上述股东涉及委托/受托表决权、放弃表决权情况的说明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r>
      <w:tr w:rsidR="00BD1BB9">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394281">
            <w:pPr>
              <w:spacing w:before="40" w:after="40" w:line="240" w:lineRule="exact"/>
              <w:rPr>
                <w:rFonts w:ascii="宋体" w:eastAsia="宋体" w:hAnsi="宋体" w:cs="宋体"/>
                <w:sz w:val="18"/>
                <w:szCs w:val="18"/>
              </w:rPr>
            </w:pPr>
            <w:r>
              <w:rPr>
                <w:rFonts w:ascii="宋体" w:eastAsia="宋体" w:hAnsi="宋体" w:cs="宋体"/>
                <w:sz w:val="18"/>
                <w:szCs w:val="18"/>
              </w:rPr>
              <w:t>前10名股东中存在回购专户的特别说明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r>
      <w:tr w:rsidR="00BD1BB9">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前10名无限售条件股东持股情况（不含通过转融通出借股份、高管锁定股）</w:t>
            </w:r>
          </w:p>
        </w:tc>
      </w:tr>
      <w:tr w:rsidR="00BD1BB9" w:rsidTr="00394281">
        <w:trPr>
          <w:trHeight w:val="240"/>
        </w:trPr>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5054"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报告期末持有无限售条件股份数量</w:t>
            </w:r>
          </w:p>
        </w:tc>
        <w:tc>
          <w:tcPr>
            <w:tcW w:w="244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r>
      <w:tr w:rsidR="00BD1BB9" w:rsidTr="00394281">
        <w:trPr>
          <w:trHeight w:val="240"/>
        </w:trPr>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054"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BD1BB9" w:rsidTr="00394281">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江苏华西集团有限公司</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260,000,000.00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260,000,000</w:t>
            </w:r>
          </w:p>
        </w:tc>
      </w:tr>
      <w:tr w:rsidR="00BD1BB9" w:rsidTr="00394281">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江阴市凝秀建设投资发展有限公司</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82,129,483.00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82,129,483</w:t>
            </w:r>
          </w:p>
        </w:tc>
      </w:tr>
      <w:tr w:rsidR="00BD1BB9" w:rsidTr="00394281">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香港中央结算有限公司</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6,407,578.00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6,407,578</w:t>
            </w:r>
          </w:p>
        </w:tc>
      </w:tr>
      <w:tr w:rsidR="00BD1BB9" w:rsidTr="00394281">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杨光勇</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5,834,311.00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5,834,311</w:t>
            </w:r>
          </w:p>
        </w:tc>
      </w:tr>
      <w:tr w:rsidR="00BD1BB9" w:rsidTr="00394281">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吴大贵</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5,714,700.00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5,714,700</w:t>
            </w:r>
          </w:p>
        </w:tc>
      </w:tr>
      <w:tr w:rsidR="00BD1BB9" w:rsidTr="00394281">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陈杏英</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4,000,000.00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4,000,000</w:t>
            </w:r>
          </w:p>
        </w:tc>
      </w:tr>
      <w:tr w:rsidR="00BD1BB9" w:rsidTr="00394281">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陆增三</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3,050,100.00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3,050,100</w:t>
            </w:r>
          </w:p>
        </w:tc>
      </w:tr>
      <w:tr w:rsidR="00BD1BB9" w:rsidTr="00394281">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郑时明</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2,685,700.00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2,685,700</w:t>
            </w:r>
          </w:p>
        </w:tc>
      </w:tr>
      <w:tr w:rsidR="00BD1BB9" w:rsidTr="00394281">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林凯铭</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2,482,700.00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2,482,700</w:t>
            </w:r>
          </w:p>
        </w:tc>
      </w:tr>
      <w:tr w:rsidR="00BD1BB9" w:rsidTr="00394281">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李新强</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2,204,500.00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jc w:val="right"/>
              <w:rPr>
                <w:rFonts w:ascii="宋体" w:eastAsia="宋体" w:hAnsi="宋体" w:cs="宋体"/>
                <w:sz w:val="18"/>
                <w:szCs w:val="18"/>
              </w:rPr>
            </w:pPr>
            <w:r>
              <w:rPr>
                <w:rFonts w:ascii="宋体" w:eastAsia="宋体" w:hAnsi="宋体" w:cs="宋体"/>
                <w:sz w:val="18"/>
                <w:szCs w:val="18"/>
              </w:rPr>
              <w:t>2,204,500</w:t>
            </w:r>
          </w:p>
        </w:tc>
      </w:tr>
      <w:tr w:rsidR="00BD1BB9">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spacing w:before="40" w:after="40" w:line="276" w:lineRule="auto"/>
              <w:rPr>
                <w:rFonts w:ascii="宋体" w:eastAsia="宋体" w:hAnsi="宋体" w:cs="宋体"/>
                <w:sz w:val="18"/>
                <w:szCs w:val="18"/>
              </w:rPr>
            </w:pPr>
            <w:r>
              <w:rPr>
                <w:rFonts w:ascii="宋体" w:eastAsia="宋体" w:hAnsi="宋体" w:cs="宋体"/>
                <w:sz w:val="18"/>
                <w:szCs w:val="18"/>
              </w:rPr>
              <w:t>前10名无限售条件股东之间，以及前10名无限售条件股东和前10名股东之间关联关系或一致行动的说明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江苏华西集团有限公司、江阴市凝秀建设投资发展有限公司受同一实际控制人控制，属于一致行动人。除此之外，公司未知其他股东之间是否存在关联关系，也未知其一致行动情况。</w:t>
            </w:r>
          </w:p>
        </w:tc>
      </w:tr>
      <w:tr w:rsidR="00BD1BB9">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spacing w:before="40" w:after="40" w:line="276" w:lineRule="auto"/>
              <w:rPr>
                <w:rFonts w:ascii="宋体" w:eastAsia="宋体" w:hAnsi="宋体" w:cs="宋体"/>
                <w:sz w:val="18"/>
                <w:szCs w:val="18"/>
              </w:rPr>
            </w:pPr>
            <w:r>
              <w:rPr>
                <w:rFonts w:ascii="宋体" w:eastAsia="宋体" w:hAnsi="宋体" w:cs="宋体"/>
                <w:sz w:val="18"/>
                <w:szCs w:val="18"/>
              </w:rPr>
              <w:t>前10名普通股股东参与融资融券业务情况说明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股东“杨光勇”通过信用交易担保证券账户持有公司股票5,834,311股。</w:t>
            </w:r>
          </w:p>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股东“吴大贵”通过信用交易担保证券账户持有公司股票5,714,700股。</w:t>
            </w:r>
          </w:p>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股东“陈杏英”通过信用交易担保证券账户持有公司股票4,000,000股。</w:t>
            </w:r>
          </w:p>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股东“陆增三”通过信用交易担保证券账户持有公司股票3,050,100股。</w:t>
            </w:r>
          </w:p>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股东“郑时明”通过信用交易担保证券账户持有公司股票2,685,700股。</w:t>
            </w:r>
          </w:p>
          <w:p w:rsidR="00BD1BB9" w:rsidRDefault="00452DEF" w:rsidP="00EA43B8">
            <w:pPr>
              <w:spacing w:line="276" w:lineRule="auto"/>
              <w:rPr>
                <w:rFonts w:ascii="宋体" w:eastAsia="宋体" w:hAnsi="宋体" w:cs="宋体"/>
                <w:sz w:val="18"/>
                <w:szCs w:val="18"/>
              </w:rPr>
            </w:pPr>
            <w:r>
              <w:rPr>
                <w:rFonts w:ascii="宋体" w:eastAsia="宋体" w:hAnsi="宋体" w:cs="宋体"/>
                <w:sz w:val="18"/>
                <w:szCs w:val="18"/>
              </w:rPr>
              <w:t>股东“林凯铭”通过信用交易担保证券账户持有公司股票2,482,700股。</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持股5%以上股东、前10名股东及前10名无限售流通股股东参与转融通业务出借股份情况</w:t>
      </w:r>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前10名股东及前10名无限售流通股股东因转融通出借/归还原因导致较上期发生变化</w:t>
      </w:r>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公司前10名普通股股东、前10名无限售条件普通股股东在报告期内是否进行约定购回交易</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公司前10名普通股股东、前10名无限售条件普通股股东在报告期内未进行约定购回交易。</w:t>
      </w:r>
    </w:p>
    <w:p w:rsidR="00BD1BB9" w:rsidRDefault="00452DEF">
      <w:pPr>
        <w:pStyle w:val="2"/>
        <w:spacing w:before="300" w:after="300" w:line="320" w:lineRule="exact"/>
        <w:rPr>
          <w:rFonts w:ascii="宋体" w:eastAsia="宋体" w:hAnsi="宋体" w:cs="宋体"/>
          <w:b/>
          <w:bCs/>
          <w:sz w:val="24"/>
          <w:szCs w:val="24"/>
        </w:rPr>
      </w:pPr>
      <w:bookmarkStart w:id="99" w:name="_Toc988971"/>
      <w:r>
        <w:rPr>
          <w:rFonts w:ascii="宋体" w:eastAsia="宋体" w:hAnsi="宋体" w:cs="宋体"/>
          <w:b/>
          <w:bCs/>
          <w:sz w:val="24"/>
          <w:szCs w:val="24"/>
        </w:rPr>
        <w:t>四、董事和高级管理人员持股变动</w:t>
      </w:r>
      <w:bookmarkEnd w:id="99"/>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公司董事和高级管理人员在报告期持股情况没有发生变动，具体可参见2024年年报。</w:t>
      </w:r>
    </w:p>
    <w:p w:rsidR="00BD1BB9" w:rsidRDefault="00452DEF">
      <w:pPr>
        <w:pStyle w:val="2"/>
        <w:spacing w:before="300" w:after="300" w:line="320" w:lineRule="exact"/>
        <w:rPr>
          <w:rFonts w:ascii="宋体" w:eastAsia="宋体" w:hAnsi="宋体" w:cs="宋体"/>
          <w:b/>
          <w:bCs/>
          <w:sz w:val="24"/>
          <w:szCs w:val="24"/>
        </w:rPr>
      </w:pPr>
      <w:bookmarkStart w:id="100" w:name="_Toc988972"/>
      <w:r>
        <w:rPr>
          <w:rFonts w:ascii="宋体" w:eastAsia="宋体" w:hAnsi="宋体" w:cs="宋体"/>
          <w:b/>
          <w:bCs/>
          <w:sz w:val="24"/>
          <w:szCs w:val="24"/>
        </w:rPr>
        <w:t>五、控股股东或实际控制人变更情况</w:t>
      </w:r>
      <w:bookmarkEnd w:id="100"/>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控股股东报告期内变更</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公司报告期实际控制人未发生变更。</w:t>
      </w:r>
    </w:p>
    <w:p w:rsidR="00BD1BB9" w:rsidRDefault="00452DEF">
      <w:pPr>
        <w:pStyle w:val="2"/>
        <w:spacing w:before="300" w:after="300" w:line="320" w:lineRule="exact"/>
        <w:rPr>
          <w:rFonts w:ascii="宋体" w:eastAsia="宋体" w:hAnsi="宋体" w:cs="宋体"/>
          <w:b/>
          <w:bCs/>
          <w:sz w:val="24"/>
          <w:szCs w:val="24"/>
        </w:rPr>
      </w:pPr>
      <w:bookmarkStart w:id="101" w:name="_Toc988973"/>
      <w:r>
        <w:rPr>
          <w:rFonts w:ascii="宋体" w:eastAsia="宋体" w:hAnsi="宋体" w:cs="宋体"/>
          <w:b/>
          <w:bCs/>
          <w:sz w:val="24"/>
          <w:szCs w:val="24"/>
        </w:rPr>
        <w:t>六、优先股相关情况</w:t>
      </w:r>
      <w:bookmarkEnd w:id="101"/>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报告期公司不存在优先股。</w:t>
      </w:r>
    </w:p>
    <w:p w:rsidR="00BD1BB9" w:rsidRDefault="00452DEF">
      <w:r>
        <w:br w:type="page"/>
      </w:r>
    </w:p>
    <w:p w:rsidR="00BD1BB9" w:rsidRDefault="00452DEF">
      <w:pPr>
        <w:pStyle w:val="headingh1"/>
        <w:spacing w:before="340" w:after="330" w:line="773" w:lineRule="exact"/>
        <w:jc w:val="center"/>
        <w:rPr>
          <w:rFonts w:ascii="宋体" w:eastAsia="宋体" w:hAnsi="宋体" w:cs="宋体"/>
          <w:b/>
          <w:bCs/>
          <w:sz w:val="32"/>
          <w:szCs w:val="32"/>
        </w:rPr>
      </w:pPr>
      <w:bookmarkStart w:id="102" w:name="_Toc988974"/>
      <w:r>
        <w:rPr>
          <w:rFonts w:ascii="宋体" w:eastAsia="宋体" w:hAnsi="宋体" w:cs="宋体"/>
          <w:b/>
          <w:bCs/>
          <w:sz w:val="32"/>
          <w:szCs w:val="32"/>
        </w:rPr>
        <w:lastRenderedPageBreak/>
        <w:t>第七节 债券相关情况</w:t>
      </w:r>
      <w:bookmarkEnd w:id="102"/>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r>
        <w:br w:type="page"/>
      </w:r>
    </w:p>
    <w:p w:rsidR="00BD1BB9" w:rsidRDefault="00452DEF">
      <w:pPr>
        <w:pStyle w:val="headingh1"/>
        <w:spacing w:before="340" w:after="330" w:line="773" w:lineRule="exact"/>
        <w:jc w:val="center"/>
        <w:rPr>
          <w:rFonts w:ascii="宋体" w:eastAsia="宋体" w:hAnsi="宋体" w:cs="宋体"/>
          <w:b/>
          <w:bCs/>
          <w:sz w:val="32"/>
          <w:szCs w:val="32"/>
        </w:rPr>
      </w:pPr>
      <w:bookmarkStart w:id="103" w:name="_Toc988975"/>
      <w:r>
        <w:rPr>
          <w:rFonts w:ascii="宋体" w:eastAsia="宋体" w:hAnsi="宋体" w:cs="宋体"/>
          <w:b/>
          <w:bCs/>
          <w:sz w:val="32"/>
          <w:szCs w:val="32"/>
        </w:rPr>
        <w:lastRenderedPageBreak/>
        <w:t>第八节 财务报告</w:t>
      </w:r>
      <w:bookmarkEnd w:id="103"/>
    </w:p>
    <w:p w:rsidR="00BD1BB9" w:rsidRDefault="00452DEF">
      <w:pPr>
        <w:pStyle w:val="2"/>
        <w:spacing w:before="300" w:after="300" w:line="320" w:lineRule="exact"/>
        <w:rPr>
          <w:rFonts w:ascii="宋体" w:eastAsia="宋体" w:hAnsi="宋体" w:cs="宋体"/>
          <w:b/>
          <w:bCs/>
          <w:sz w:val="24"/>
          <w:szCs w:val="24"/>
        </w:rPr>
      </w:pPr>
      <w:bookmarkStart w:id="104" w:name="_Toc988976"/>
      <w:r>
        <w:rPr>
          <w:rFonts w:ascii="宋体" w:eastAsia="宋体" w:hAnsi="宋体" w:cs="宋体"/>
          <w:b/>
          <w:bCs/>
          <w:sz w:val="24"/>
          <w:szCs w:val="24"/>
        </w:rPr>
        <w:t>一、审计报告</w:t>
      </w:r>
      <w:bookmarkEnd w:id="104"/>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半年度报告是否经过审计</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公司半年度财务报告未经审计。</w:t>
      </w:r>
    </w:p>
    <w:p w:rsidR="00BD1BB9" w:rsidRDefault="00452DEF">
      <w:pPr>
        <w:pStyle w:val="2"/>
        <w:spacing w:before="300" w:after="300" w:line="320" w:lineRule="exact"/>
        <w:rPr>
          <w:rFonts w:ascii="宋体" w:eastAsia="宋体" w:hAnsi="宋体" w:cs="宋体"/>
          <w:b/>
          <w:bCs/>
          <w:sz w:val="24"/>
          <w:szCs w:val="24"/>
        </w:rPr>
      </w:pPr>
      <w:bookmarkStart w:id="105" w:name="_Toc988977"/>
      <w:r>
        <w:rPr>
          <w:rFonts w:ascii="宋体" w:eastAsia="宋体" w:hAnsi="宋体" w:cs="宋体"/>
          <w:b/>
          <w:bCs/>
          <w:sz w:val="24"/>
          <w:szCs w:val="24"/>
        </w:rPr>
        <w:t>二、财务报表</w:t>
      </w:r>
      <w:bookmarkEnd w:id="105"/>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财务附注中报表的单位为：元</w:t>
      </w:r>
    </w:p>
    <w:p w:rsidR="00BD1BB9" w:rsidRDefault="00452DEF">
      <w:pPr>
        <w:pStyle w:val="3"/>
        <w:spacing w:line="280" w:lineRule="exact"/>
        <w:jc w:val="left"/>
        <w:rPr>
          <w:rFonts w:ascii="宋体" w:hAnsi="宋体" w:cs="宋体"/>
          <w:b/>
          <w:bCs/>
        </w:rPr>
      </w:pPr>
      <w:bookmarkStart w:id="106" w:name="_Toc988978"/>
      <w:r>
        <w:rPr>
          <w:rFonts w:ascii="宋体" w:hAnsi="宋体" w:cs="宋体"/>
          <w:b/>
          <w:bCs/>
        </w:rPr>
        <w:t>1、合并资产负债表</w:t>
      </w:r>
      <w:bookmarkEnd w:id="106"/>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编制单位：江苏华西村股份有限公司</w:t>
      </w:r>
    </w:p>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2025年06月30日</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6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686,798,382.59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441,778,914.83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240,218,854.85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237,252,629.51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75,761,409.44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119,568,708.24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145,726,894.72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128,178,794.58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297,458,296.75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200,883,796.09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36,243,680.56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25,189,721.92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1,357,514.90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1,300,752.20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309,713,180.58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454,089,779.99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9,836,324.73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22,294,253.67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rPr>
                <w:rFonts w:ascii="宋体" w:eastAsia="宋体" w:hAnsi="宋体" w:cs="宋体"/>
                <w:sz w:val="18"/>
                <w:szCs w:val="18"/>
              </w:rPr>
            </w:pPr>
            <w:r>
              <w:rPr>
                <w:rFonts w:ascii="宋体" w:eastAsia="宋体" w:hAnsi="宋体" w:cs="宋体"/>
                <w:sz w:val="18"/>
                <w:szCs w:val="18"/>
              </w:rPr>
              <w:lastRenderedPageBreak/>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1,803,114,539.12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1,630,537,351.03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6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3,603,001,110.51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3,481,653,682.96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841,950,369.04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841,950,369.04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550,830,460.78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552,829,127.63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16,131,764.57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23,584,321.75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18,927,645.12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19,317,441.95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2,064,864.17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2,064,864.17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36,998,069.79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36,130,027.12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987,000.00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1,548,900.00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5,070,891,283.98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4,959,078,734.62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6,874,005,823.10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6,589,616,085.65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6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1,159,514,058.29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978,290,953.20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95,911,690.64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157,544,954.27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2,301,825.75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3,295,307.31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131,266,311.39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87,523,406.28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23,552,206.74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35,035,296.65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lastRenderedPageBreak/>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24,450,295.30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13,849,070.02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597,900.54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544,749.91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19,017,100.00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51,421,349.23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77,173,540.93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1,508,032,737.88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1,353,257,278.57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6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19,519,743.75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3,517,500.00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3,752,000.00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29,313,712.95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29,266,598.23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32,831,212.95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52,538,341.98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1,540,863,950.83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1,405,795,620.55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6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886,012,887.00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384,870,927.46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384,870,927.46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6,364,494.24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5,334,249.49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455,349,056.41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450,644,980.60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3,600,544,507.16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3,456,957,420.55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5,333,141,872.27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5,183,820,465.10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5,333,141,872.27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5,183,820,465.10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6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6,874,005,823.10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60" w:lineRule="exact"/>
              <w:jc w:val="right"/>
              <w:rPr>
                <w:rFonts w:ascii="宋体" w:eastAsia="宋体" w:hAnsi="宋体" w:cs="宋体"/>
                <w:sz w:val="18"/>
                <w:szCs w:val="18"/>
              </w:rPr>
            </w:pPr>
            <w:r>
              <w:rPr>
                <w:rFonts w:ascii="宋体" w:eastAsia="宋体" w:hAnsi="宋体" w:cs="宋体"/>
                <w:sz w:val="18"/>
                <w:szCs w:val="18"/>
              </w:rPr>
              <w:t>6,589,616,085.65</w:t>
            </w:r>
          </w:p>
        </w:tc>
      </w:tr>
    </w:tbl>
    <w:p w:rsidR="00EA43B8"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法定代表人：吴协恩    </w:t>
      </w:r>
      <w:r w:rsidR="00394281">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394281">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EA43B8" w:rsidRDefault="00EA43B8">
      <w:pPr>
        <w:widowControl/>
        <w:rPr>
          <w:rFonts w:ascii="宋体" w:eastAsia="宋体" w:hAnsi="宋体" w:cs="宋体"/>
          <w:sz w:val="18"/>
          <w:szCs w:val="18"/>
        </w:rPr>
      </w:pPr>
      <w:r>
        <w:rPr>
          <w:rFonts w:ascii="宋体" w:eastAsia="宋体" w:hAnsi="宋体" w:cs="宋体"/>
          <w:sz w:val="18"/>
          <w:szCs w:val="18"/>
        </w:rPr>
        <w:br w:type="page"/>
      </w:r>
    </w:p>
    <w:p w:rsidR="00BD1BB9" w:rsidRDefault="00452DEF">
      <w:pPr>
        <w:pStyle w:val="3"/>
        <w:spacing w:line="320" w:lineRule="exact"/>
        <w:jc w:val="left"/>
        <w:rPr>
          <w:rFonts w:ascii="宋体" w:hAnsi="宋体" w:cs="宋体"/>
          <w:b/>
          <w:bCs/>
          <w:sz w:val="24"/>
          <w:szCs w:val="24"/>
        </w:rPr>
      </w:pPr>
      <w:bookmarkStart w:id="107" w:name="_Toc988979"/>
      <w:r>
        <w:rPr>
          <w:rFonts w:ascii="宋体" w:hAnsi="宋体" w:cs="宋体"/>
          <w:b/>
          <w:bCs/>
          <w:sz w:val="24"/>
          <w:szCs w:val="24"/>
        </w:rPr>
        <w:lastRenderedPageBreak/>
        <w:t>2、母公司资产负债表</w:t>
      </w:r>
      <w:bookmarkEnd w:id="107"/>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2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526,381,302.65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333,344,279.83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227,968,000.00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225,178,215.00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74,670,434.56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117,467,581.32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129,675,471.97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114,556,520.02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294,050,369.87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197,625,811.56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29,349,299.41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28,473,721.07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576,661.24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553,756.93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309,235,248.83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453,605,925.61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9,673,549.37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22,180,970.39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1,601,580,337.90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1,492,986,781.73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2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4,570,563,838.47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4,540,054,506.65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261,575,059.21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261,575,059.21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461,177,823.30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459,786,241.04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12,301,593.81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21,547,886.47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13,618,194.03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13,064,633.88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369,000.00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360,000.00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5,319,605,508.82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5,296,388,327.25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6,921,185,846.72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6,789,375,108.98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lastRenderedPageBreak/>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2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913,379,486.13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667,450,679.16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338,579,017.16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468,146,140.63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130,885,881.64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87,142,976.53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16,586,487.18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23,032,638.04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20,772,193.39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10,505,625.26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368,550,291.64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404,647,611.46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19,017,100.00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51,087,451.80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75,829,177.93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1,858,857,908.94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1,736,754,849.01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2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19,519,743.75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19,519,743.75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1,858,857,908.94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1,756,274,592.76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2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2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2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886,012,887.00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2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2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2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2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519,145,006.17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519,145,006.17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2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2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-3,177,569.36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-3,084,490.59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2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2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2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486,023,177.26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481,319,101.45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2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3,174,324,436.71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3,149,708,012.19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2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5,062,327,937.78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5,033,100,516.22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2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6,921,185,846.72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6,789,375,108.98</w:t>
            </w:r>
          </w:p>
        </w:tc>
      </w:tr>
    </w:tbl>
    <w:p w:rsidR="00EA43B8" w:rsidRDefault="00EA43B8" w:rsidP="00EA43B8">
      <w:pPr>
        <w:spacing w:before="100" w:after="100" w:line="240" w:lineRule="exact"/>
        <w:rPr>
          <w:rFonts w:ascii="宋体" w:eastAsia="宋体" w:hAnsi="宋体" w:cs="宋体"/>
          <w:sz w:val="18"/>
          <w:szCs w:val="18"/>
        </w:rPr>
      </w:pPr>
      <w:bookmarkStart w:id="108" w:name="_Toc988980"/>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sidR="00CE697C">
        <w:rPr>
          <w:rFonts w:ascii="宋体" w:eastAsia="宋体" w:hAnsi="宋体" w:cs="宋体" w:hint="eastAsia"/>
          <w:sz w:val="18"/>
          <w:szCs w:val="18"/>
        </w:rPr>
        <w:t xml:space="preserve">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EA43B8" w:rsidRDefault="00EA43B8">
      <w:pPr>
        <w:widowControl/>
        <w:rPr>
          <w:rFonts w:ascii="宋体" w:eastAsia="宋体" w:hAnsi="宋体" w:cs="宋体"/>
          <w:b/>
          <w:bCs/>
          <w:szCs w:val="21"/>
        </w:rPr>
      </w:pPr>
      <w:r>
        <w:rPr>
          <w:rFonts w:ascii="宋体" w:hAnsi="宋体" w:cs="宋体"/>
          <w:b/>
          <w:bCs/>
        </w:rPr>
        <w:br w:type="page"/>
      </w:r>
    </w:p>
    <w:p w:rsidR="00BD1BB9" w:rsidRDefault="00452DEF">
      <w:pPr>
        <w:pStyle w:val="3"/>
        <w:spacing w:line="280" w:lineRule="exact"/>
        <w:jc w:val="left"/>
        <w:rPr>
          <w:rFonts w:ascii="宋体" w:hAnsi="宋体" w:cs="宋体"/>
          <w:b/>
          <w:bCs/>
        </w:rPr>
      </w:pPr>
      <w:r>
        <w:rPr>
          <w:rFonts w:ascii="宋体" w:hAnsi="宋体" w:cs="宋体"/>
          <w:b/>
          <w:bCs/>
        </w:rPr>
        <w:lastRenderedPageBreak/>
        <w:t>3、合并利润表</w:t>
      </w:r>
      <w:bookmarkEnd w:id="108"/>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2025年半年度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2024年半年度</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1,636,827,797.80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1,554,741,306.99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1,636,827,797.80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1,554,741,306.99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1,572,293,585.48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1,523,163,072.10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1,514,716,683.09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1,472,427,840.18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6,070,106.58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3,979,908.54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3,028,654.95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4,188,700.76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30,716,203.70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26,346,388.17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4,648,731.14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4,542,941.96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13,113,206.02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11,677,292.49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13,740,013.44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16,724,463.34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1,292,084.39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3,060,113.68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329,564.18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489,971.06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119,239,861.80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66,447,289.68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121,037,182.80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37,145,443.93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以摊余成本计量的金融资产终止确认收益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3,007,015.39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-6,155,311.91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-2,584,404.89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-3,380,399.27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-3,089,331.90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-2,974,212.01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三、营业利润（亏损以“—”号填</w:t>
            </w:r>
            <w:r>
              <w:rPr>
                <w:rFonts w:ascii="宋体" w:eastAsia="宋体" w:hAnsi="宋体" w:cs="宋体"/>
                <w:sz w:val="18"/>
                <w:szCs w:val="18"/>
              </w:rPr>
              <w:lastRenderedPageBreak/>
              <w:t>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lastRenderedPageBreak/>
              <w:t>181,436,916.90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86,005,572.44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70,104.00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92,004.30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75,001.84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169,131.38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181,432,019.06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85,928,445.36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15,420,598.90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6,553,725.72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166,011,420.16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79,374,719.64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166,011,420.16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79,374,719.64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166,011,420.16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79,374,719.64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-4,435,194.49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-4,435,194.49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-4,435,194.49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-4,435,194.49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167,041,664.91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74,939,525.15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167,041,664.91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74,939,525.15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0.09</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本期发生同一控制下企业合并的，被合并方在合并前实现的净利润为：0.00元，上期被合并方实现的净利润为：0.00元。</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法定代表人：吴协恩    </w:t>
      </w:r>
      <w:r w:rsidR="00394281">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394281">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BD1BB9" w:rsidRDefault="00452DEF">
      <w:pPr>
        <w:pStyle w:val="3"/>
        <w:spacing w:line="280" w:lineRule="exact"/>
        <w:jc w:val="left"/>
        <w:rPr>
          <w:rFonts w:ascii="宋体" w:hAnsi="宋体" w:cs="宋体"/>
          <w:b/>
          <w:bCs/>
        </w:rPr>
      </w:pPr>
      <w:bookmarkStart w:id="109" w:name="_Toc988981"/>
      <w:r>
        <w:rPr>
          <w:rFonts w:ascii="宋体" w:hAnsi="宋体" w:cs="宋体"/>
          <w:b/>
          <w:bCs/>
        </w:rPr>
        <w:lastRenderedPageBreak/>
        <w:t>4、母公司利润表</w:t>
      </w:r>
      <w:bookmarkEnd w:id="109"/>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jc w:val="center"/>
              <w:rPr>
                <w:rFonts w:ascii="宋体" w:eastAsia="宋体" w:hAnsi="宋体" w:cs="宋体"/>
                <w:sz w:val="18"/>
                <w:szCs w:val="18"/>
              </w:rPr>
            </w:pPr>
            <w:r>
              <w:rPr>
                <w:rFonts w:ascii="宋体" w:eastAsia="宋体" w:hAnsi="宋体" w:cs="宋体"/>
                <w:sz w:val="18"/>
                <w:szCs w:val="18"/>
              </w:rPr>
              <w:t>2025年半年度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jc w:val="center"/>
              <w:rPr>
                <w:rFonts w:ascii="宋体" w:eastAsia="宋体" w:hAnsi="宋体" w:cs="宋体"/>
                <w:sz w:val="18"/>
                <w:szCs w:val="18"/>
              </w:rPr>
            </w:pPr>
            <w:r>
              <w:rPr>
                <w:rFonts w:ascii="宋体" w:eastAsia="宋体" w:hAnsi="宋体" w:cs="宋体"/>
                <w:sz w:val="18"/>
                <w:szCs w:val="18"/>
              </w:rPr>
              <w:t>2024年半年度</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rPr>
                <w:rFonts w:ascii="宋体" w:eastAsia="宋体" w:hAnsi="宋体" w:cs="宋体"/>
                <w:sz w:val="18"/>
                <w:szCs w:val="18"/>
              </w:rPr>
            </w:pPr>
            <w:r>
              <w:rPr>
                <w:rFonts w:ascii="宋体" w:eastAsia="宋体" w:hAnsi="宋体" w:cs="宋体"/>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1,565,325,360.40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1,460,780,694.70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1,499,178,288.59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1,454,822,208.80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5,008,596.42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2,681,178.11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3,028,654.95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4,188,700.76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19,589,135.21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17,550,594.81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1,224,000.00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1,110,000.00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6,763,938.94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4,690,693.84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7,353,553.50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9,193,370.01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1,167,307.49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2,347,440.01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55,678.67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145,063.33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29,253,512.53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50,319,566.46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30,602,410.59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21,549,723.25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700" w:firstLine="1260"/>
              <w:rPr>
                <w:rFonts w:ascii="宋体" w:eastAsia="宋体" w:hAnsi="宋体" w:cs="宋体"/>
                <w:sz w:val="18"/>
                <w:szCs w:val="18"/>
              </w:rPr>
            </w:pPr>
            <w:r>
              <w:rPr>
                <w:rFonts w:ascii="宋体" w:eastAsia="宋体" w:hAnsi="宋体" w:cs="宋体"/>
                <w:sz w:val="18"/>
                <w:szCs w:val="18"/>
              </w:rPr>
              <w:t>以摊余成本计量的金融资产终止确认收益（损失以“—”号填列）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2,830,575.05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-6,309,089.15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-2,339,257.63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-2,731,217.91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-3,089,331.90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-3,070,582.31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rPr>
                <w:rFonts w:ascii="宋体" w:eastAsia="宋体" w:hAnsi="宋体" w:cs="宋体"/>
                <w:sz w:val="18"/>
                <w:szCs w:val="18"/>
              </w:rPr>
            </w:pPr>
            <w:r>
              <w:rPr>
                <w:rFonts w:ascii="宋体" w:eastAsia="宋体" w:hAnsi="宋体" w:cs="宋体"/>
                <w:sz w:val="18"/>
                <w:szCs w:val="18"/>
              </w:rPr>
              <w:t>二、营业利润（亏损以“—”号填列）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57,243,923.01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14,091,058.80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54,004.00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61,804.30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3.13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30,645.60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rPr>
                <w:rFonts w:ascii="宋体" w:eastAsia="宋体" w:hAnsi="宋体" w:cs="宋体"/>
                <w:sz w:val="18"/>
                <w:szCs w:val="18"/>
              </w:rPr>
            </w:pPr>
            <w:r>
              <w:rPr>
                <w:rFonts w:ascii="宋体" w:eastAsia="宋体" w:hAnsi="宋体" w:cs="宋体"/>
                <w:sz w:val="18"/>
                <w:szCs w:val="18"/>
              </w:rPr>
              <w:lastRenderedPageBreak/>
              <w:t>三、利润总额（亏损总额以“—”号填列）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57,297,923.88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14,122,217.50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10,257,165.81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-1,748,943.68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rPr>
                <w:rFonts w:ascii="宋体" w:eastAsia="宋体" w:hAnsi="宋体" w:cs="宋体"/>
                <w:sz w:val="18"/>
                <w:szCs w:val="18"/>
              </w:rPr>
            </w:pPr>
            <w:r>
              <w:rPr>
                <w:rFonts w:ascii="宋体" w:eastAsia="宋体" w:hAnsi="宋体" w:cs="宋体"/>
                <w:sz w:val="18"/>
                <w:szCs w:val="18"/>
              </w:rPr>
              <w:t>四、净利润（净亏损以“—”号填列）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47,040,758.07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15,871,161.18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47,040,758.07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15,871,161.18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-93,078.77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-321,223.52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-93,078.77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-321,223.52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-93,078.77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-321,223.52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rPr>
                <w:rFonts w:ascii="宋体" w:eastAsia="宋体" w:hAnsi="宋体" w:cs="宋体"/>
                <w:sz w:val="18"/>
                <w:szCs w:val="18"/>
              </w:rPr>
            </w:pPr>
            <w:r>
              <w:rPr>
                <w:rFonts w:ascii="宋体" w:eastAsia="宋体" w:hAnsi="宋体" w:cs="宋体"/>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46,947,679.30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15,549,937.66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rPr>
                <w:rFonts w:ascii="宋体" w:eastAsia="宋体" w:hAnsi="宋体" w:cs="宋体"/>
                <w:sz w:val="18"/>
                <w:szCs w:val="18"/>
              </w:rPr>
            </w:pPr>
            <w:r>
              <w:rPr>
                <w:rFonts w:ascii="宋体" w:eastAsia="宋体" w:hAnsi="宋体" w:cs="宋体"/>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34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34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0.05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0.02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0.05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40" w:lineRule="exact"/>
              <w:jc w:val="right"/>
              <w:rPr>
                <w:rFonts w:ascii="宋体" w:eastAsia="宋体" w:hAnsi="宋体" w:cs="宋体"/>
                <w:sz w:val="18"/>
                <w:szCs w:val="18"/>
              </w:rPr>
            </w:pPr>
            <w:r>
              <w:rPr>
                <w:rFonts w:ascii="宋体" w:eastAsia="宋体" w:hAnsi="宋体" w:cs="宋体"/>
                <w:sz w:val="18"/>
                <w:szCs w:val="18"/>
              </w:rPr>
              <w:t>0.02</w:t>
            </w:r>
          </w:p>
        </w:tc>
      </w:tr>
    </w:tbl>
    <w:p w:rsidR="00EA43B8" w:rsidRDefault="00EA43B8" w:rsidP="00EA43B8">
      <w:pPr>
        <w:spacing w:before="100" w:after="100" w:line="240" w:lineRule="exact"/>
        <w:rPr>
          <w:rFonts w:ascii="宋体" w:eastAsia="宋体" w:hAnsi="宋体" w:cs="宋体"/>
          <w:sz w:val="18"/>
          <w:szCs w:val="18"/>
        </w:rPr>
      </w:pPr>
      <w:bookmarkStart w:id="110" w:name="OLE_LINK5"/>
      <w:bookmarkStart w:id="111" w:name="OLE_LINK6"/>
      <w:bookmarkStart w:id="112" w:name="_Toc988982"/>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sidR="00CE697C">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bookmarkEnd w:id="110"/>
    <w:bookmarkEnd w:id="111"/>
    <w:p w:rsidR="00EA43B8" w:rsidRDefault="00EA43B8">
      <w:pPr>
        <w:widowControl/>
        <w:rPr>
          <w:rFonts w:ascii="宋体" w:eastAsia="宋体" w:hAnsi="宋体" w:cs="宋体"/>
          <w:b/>
          <w:bCs/>
          <w:szCs w:val="21"/>
        </w:rPr>
      </w:pPr>
      <w:r>
        <w:rPr>
          <w:rFonts w:ascii="宋体" w:hAnsi="宋体" w:cs="宋体"/>
          <w:b/>
          <w:bCs/>
        </w:rPr>
        <w:br w:type="page"/>
      </w:r>
    </w:p>
    <w:p w:rsidR="00BD1BB9" w:rsidRDefault="00452DEF">
      <w:pPr>
        <w:pStyle w:val="3"/>
        <w:spacing w:line="280" w:lineRule="exact"/>
        <w:jc w:val="left"/>
        <w:rPr>
          <w:rFonts w:ascii="宋体" w:hAnsi="宋体" w:cs="宋体"/>
          <w:b/>
          <w:bCs/>
        </w:rPr>
      </w:pPr>
      <w:r>
        <w:rPr>
          <w:rFonts w:ascii="宋体" w:hAnsi="宋体" w:cs="宋体"/>
          <w:b/>
          <w:bCs/>
        </w:rPr>
        <w:lastRenderedPageBreak/>
        <w:t>5、合并现金流量表</w:t>
      </w:r>
      <w:bookmarkEnd w:id="11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jc w:val="center"/>
              <w:rPr>
                <w:rFonts w:ascii="宋体" w:eastAsia="宋体" w:hAnsi="宋体" w:cs="宋体"/>
                <w:sz w:val="18"/>
                <w:szCs w:val="18"/>
              </w:rPr>
            </w:pPr>
            <w:r>
              <w:rPr>
                <w:rFonts w:ascii="宋体" w:eastAsia="宋体" w:hAnsi="宋体" w:cs="宋体"/>
                <w:sz w:val="18"/>
                <w:szCs w:val="18"/>
              </w:rPr>
              <w:t>2025年半年度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jc w:val="center"/>
              <w:rPr>
                <w:rFonts w:ascii="宋体" w:eastAsia="宋体" w:hAnsi="宋体" w:cs="宋体"/>
                <w:sz w:val="18"/>
                <w:szCs w:val="18"/>
              </w:rPr>
            </w:pPr>
            <w:r>
              <w:rPr>
                <w:rFonts w:ascii="宋体" w:eastAsia="宋体" w:hAnsi="宋体" w:cs="宋体"/>
                <w:sz w:val="18"/>
                <w:szCs w:val="18"/>
              </w:rPr>
              <w:t>2024年半年度</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3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36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1,842,060,058.67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1,679,856,029.23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20,413,227.71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25,206,230.38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4,062,179.24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5,359,992.14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1,866,535,465.62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1,710,422,251.75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1,622,060,966.54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1,586,043,598.85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77,395,812.14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68,254,644.25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31,063,793.41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13,543,881.83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18,932,860.87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27,132,020.94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1,749,453,432.96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1,694,974,145.87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117,082,032.66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15,448,105.88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3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36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34,853,241.35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114,003,309.05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730,123.77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78,022,098.87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125,000.00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lastRenderedPageBreak/>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35,583,365.12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192,150,407.92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12,023,549.16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59,309,621.61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36,189,226.48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324,669,368.90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48,212,775.64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383,978,990.51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-12,629,410.52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-191,828,582.59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3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36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898,000,000.00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831,117,355.27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898,000,000.00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831,117,355.27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717,205,701.88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814,468,906.68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36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31,534,107.96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16,839,474.19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36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179,977,459.62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199,309.84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928,717,269.46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831,507,690.71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-30,717,269.46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-390,335.44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1,299,307.47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4,389,900.42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75,034,660.15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-172,380,911.73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312,447,850.89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510,630,988.92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36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387,482,511.04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360" w:lineRule="exact"/>
              <w:jc w:val="right"/>
              <w:rPr>
                <w:rFonts w:ascii="宋体" w:eastAsia="宋体" w:hAnsi="宋体" w:cs="宋体"/>
                <w:sz w:val="18"/>
                <w:szCs w:val="18"/>
              </w:rPr>
            </w:pPr>
            <w:r>
              <w:rPr>
                <w:rFonts w:ascii="宋体" w:eastAsia="宋体" w:hAnsi="宋体" w:cs="宋体"/>
                <w:sz w:val="18"/>
                <w:szCs w:val="18"/>
              </w:rPr>
              <w:t>338,250,077.19</w:t>
            </w:r>
          </w:p>
        </w:tc>
      </w:tr>
    </w:tbl>
    <w:p w:rsidR="00430BC1" w:rsidRDefault="00EA43B8" w:rsidP="00EA43B8">
      <w:pPr>
        <w:spacing w:before="100" w:after="100" w:line="240" w:lineRule="exact"/>
        <w:rPr>
          <w:rFonts w:ascii="宋体" w:eastAsia="宋体" w:hAnsi="宋体" w:cs="宋体"/>
          <w:sz w:val="18"/>
          <w:szCs w:val="18"/>
        </w:rPr>
      </w:pPr>
      <w:bookmarkStart w:id="113" w:name="_Toc988983"/>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430BC1" w:rsidRDefault="00430BC1">
      <w:pPr>
        <w:widowControl/>
        <w:rPr>
          <w:rFonts w:ascii="宋体" w:eastAsia="宋体" w:hAnsi="宋体" w:cs="宋体"/>
          <w:sz w:val="18"/>
          <w:szCs w:val="18"/>
        </w:rPr>
      </w:pPr>
      <w:r>
        <w:rPr>
          <w:rFonts w:ascii="宋体" w:eastAsia="宋体" w:hAnsi="宋体" w:cs="宋体"/>
          <w:sz w:val="18"/>
          <w:szCs w:val="18"/>
        </w:rPr>
        <w:br w:type="page"/>
      </w:r>
    </w:p>
    <w:p w:rsidR="00BD1BB9" w:rsidRDefault="00452DEF">
      <w:pPr>
        <w:pStyle w:val="3"/>
        <w:spacing w:line="280" w:lineRule="exact"/>
        <w:jc w:val="left"/>
        <w:rPr>
          <w:rFonts w:ascii="宋体" w:hAnsi="宋体" w:cs="宋体"/>
          <w:b/>
          <w:bCs/>
        </w:rPr>
      </w:pPr>
      <w:r>
        <w:rPr>
          <w:rFonts w:ascii="宋体" w:hAnsi="宋体" w:cs="宋体"/>
          <w:b/>
          <w:bCs/>
        </w:rPr>
        <w:lastRenderedPageBreak/>
        <w:t>6、母公司现金流量表</w:t>
      </w:r>
      <w:bookmarkEnd w:id="113"/>
    </w:p>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jc w:val="center"/>
              <w:rPr>
                <w:rFonts w:ascii="宋体" w:eastAsia="宋体" w:hAnsi="宋体" w:cs="宋体"/>
                <w:sz w:val="18"/>
                <w:szCs w:val="18"/>
              </w:rPr>
            </w:pPr>
            <w:r>
              <w:rPr>
                <w:rFonts w:ascii="宋体" w:eastAsia="宋体" w:hAnsi="宋体" w:cs="宋体"/>
                <w:sz w:val="18"/>
                <w:szCs w:val="18"/>
              </w:rPr>
              <w:t>2025年半年度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jc w:val="center"/>
              <w:rPr>
                <w:rFonts w:ascii="宋体" w:eastAsia="宋体" w:hAnsi="宋体" w:cs="宋体"/>
                <w:sz w:val="18"/>
                <w:szCs w:val="18"/>
              </w:rPr>
            </w:pPr>
            <w:r>
              <w:rPr>
                <w:rFonts w:ascii="宋体" w:eastAsia="宋体" w:hAnsi="宋体" w:cs="宋体"/>
                <w:sz w:val="18"/>
                <w:szCs w:val="18"/>
              </w:rPr>
              <w:t>2024年半年度</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1,685,211,294.42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1,588,360,172.47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20,413,227.71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25,206,230.38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676,691,167.48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1,011,629,158.29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2,382,315,689.61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2,625,195,561.14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1,594,641,797.61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1,541,584,971.49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52,181,544.57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45,883,228.46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19,160,061.70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1,613,875.72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724,389,595.85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918,579,772.20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2,390,372,999.73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2,507,661,847.87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-8,057,310.12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117,533,713.27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29,280,379.06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105,249,494.79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8,851.27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76,911,835.67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88,000.00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29,289,230.33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182,249,330.46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9,720,367.47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55,927,124.64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30,138,778.52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306,396,187.15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39,859,145.99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362,323,311.79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-10,569,915.66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-180,073,981.33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828,000,000.00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628,000,000.00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828,000,000.00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628,000,000.00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582,500,000.00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658,000,000.00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25,147,648.02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9,308,380.86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179,977,459.62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199,309.84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787,625,107.64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667,507,690.70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40,374,892.36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-39,507,690.70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1,304,548.63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4,389,457.01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23,052,215.21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-97,658,501.75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204,013,215.89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271,479,641.65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line="28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227,065,431.10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173,821,139.90</w:t>
            </w:r>
          </w:p>
        </w:tc>
      </w:tr>
    </w:tbl>
    <w:p w:rsidR="00EA43B8" w:rsidRDefault="00EA43B8" w:rsidP="00EA43B8">
      <w:pPr>
        <w:spacing w:before="100" w:after="100" w:line="240" w:lineRule="exact"/>
        <w:rPr>
          <w:rFonts w:ascii="宋体" w:eastAsia="宋体" w:hAnsi="宋体" w:cs="宋体"/>
          <w:sz w:val="18"/>
          <w:szCs w:val="18"/>
        </w:rPr>
      </w:pPr>
      <w:bookmarkStart w:id="114" w:name="_Toc988984"/>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BD1BB9" w:rsidRDefault="00452DEF">
      <w:pPr>
        <w:pStyle w:val="3"/>
        <w:spacing w:line="280" w:lineRule="exact"/>
        <w:jc w:val="left"/>
        <w:rPr>
          <w:rFonts w:ascii="宋体" w:hAnsi="宋体" w:cs="宋体"/>
          <w:b/>
          <w:bCs/>
        </w:rPr>
      </w:pPr>
      <w:r>
        <w:rPr>
          <w:rFonts w:ascii="宋体" w:hAnsi="宋体" w:cs="宋体"/>
          <w:b/>
          <w:bCs/>
        </w:rPr>
        <w:lastRenderedPageBreak/>
        <w:t>7、合并所有者权益变动表</w:t>
      </w:r>
      <w:bookmarkEnd w:id="114"/>
    </w:p>
    <w:p w:rsidR="00BD1BB9" w:rsidRDefault="00452DEF" w:rsidP="00EA43B8">
      <w:pPr>
        <w:spacing w:before="100" w:after="100" w:line="240" w:lineRule="exact"/>
        <w:rPr>
          <w:rFonts w:ascii="宋体" w:eastAsia="宋体" w:hAnsi="宋体" w:cs="宋体"/>
          <w:sz w:val="18"/>
          <w:szCs w:val="18"/>
        </w:rPr>
      </w:pPr>
      <w:r>
        <w:rPr>
          <w:rFonts w:ascii="宋体" w:eastAsia="宋体" w:hAnsi="宋体" w:cs="宋体"/>
          <w:sz w:val="18"/>
          <w:szCs w:val="18"/>
        </w:rPr>
        <w:t>本期金额</w:t>
      </w:r>
      <w:r w:rsidR="00EA43B8">
        <w:rPr>
          <w:rFonts w:ascii="宋体" w:eastAsia="宋体" w:hAnsi="宋体" w:cs="宋体" w:hint="eastAsia"/>
          <w:sz w:val="18"/>
          <w:szCs w:val="18"/>
        </w:rPr>
        <w:t xml:space="preserve">                                                                                       </w:t>
      </w: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BD1BB9" w:rsidTr="00EA43B8">
        <w:trPr>
          <w:trHeight w:val="240"/>
        </w:trPr>
        <w:tc>
          <w:tcPr>
            <w:tcW w:w="119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41"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2025年半年度</w:t>
            </w:r>
          </w:p>
        </w:tc>
      </w:tr>
      <w:tr w:rsidR="00BD1BB9" w:rsidTr="00EA43B8">
        <w:trPr>
          <w:trHeight w:val="240"/>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315"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BD1BB9" w:rsidTr="00EA43B8">
        <w:trPr>
          <w:trHeight w:val="240"/>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68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rsidTr="00EA43B8">
        <w:trPr>
          <w:trHeight w:val="240"/>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3" w:type="dxa"/>
            <w:vMerge/>
            <w:tcBorders>
              <w:top w:val="single" w:sz="2" w:space="0" w:color="auto"/>
              <w:left w:val="single" w:sz="2" w:space="0" w:color="auto"/>
              <w:bottom w:val="single" w:sz="2" w:space="0" w:color="auto"/>
              <w:right w:val="single" w:sz="2" w:space="0" w:color="auto"/>
            </w:tcBorders>
            <w:vAlign w:val="center"/>
          </w:tcPr>
          <w:p w:rsidR="00BD1BB9" w:rsidRDefault="00BD1BB9"/>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384,870,927.46</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5,334,249.49</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450,644,980.60</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3,456,957,420.55</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5,183,820,465.10</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5,183,820,465.10</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384,870,927.46</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5,334,249.49</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450,644,980.60</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3,456,957,420.55</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5,183,820,465.10</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5,183,820,465.10</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4,704,075.81</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143,587,086.61</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149,321,407.17</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149,321,407.17</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166,011,420.16</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167,041,664.91</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167,041,664.91</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（三）利润分配</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4,704,075.81</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-22,424,333.55</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4,704,075.81</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-4,704,075.81</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384,870,927.46</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6,364,494.24</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455,349,056.41</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3,600,544,507.16</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5,333,141,872.27</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5,333,141,872.27</w:t>
            </w:r>
          </w:p>
        </w:tc>
      </w:tr>
    </w:tbl>
    <w:p w:rsidR="00EA43B8" w:rsidRPr="00EA43B8" w:rsidRDefault="00EA43B8">
      <w:pPr>
        <w:spacing w:before="100" w:after="100" w:line="240" w:lineRule="exact"/>
        <w:rPr>
          <w:rFonts w:ascii="宋体" w:eastAsia="宋体" w:hAnsi="宋体" w:cs="宋体"/>
          <w:sz w:val="18"/>
          <w:szCs w:val="18"/>
        </w:rPr>
      </w:pPr>
    </w:p>
    <w:p w:rsidR="00BD1BB9" w:rsidRDefault="00452DEF" w:rsidP="00EA43B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上年金额</w:t>
      </w:r>
      <w:r w:rsidR="00EA43B8">
        <w:rPr>
          <w:rFonts w:ascii="宋体" w:eastAsia="宋体" w:hAnsi="宋体" w:cs="宋体" w:hint="eastAsia"/>
          <w:sz w:val="18"/>
          <w:szCs w:val="18"/>
        </w:rPr>
        <w:t xml:space="preserve">                                                                                       </w:t>
      </w: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BD1BB9" w:rsidTr="00EA43B8">
        <w:trPr>
          <w:trHeight w:val="240"/>
        </w:trPr>
        <w:tc>
          <w:tcPr>
            <w:tcW w:w="119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项目</w:t>
            </w:r>
          </w:p>
        </w:tc>
        <w:tc>
          <w:tcPr>
            <w:tcW w:w="8441"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2024年半年度</w:t>
            </w:r>
          </w:p>
        </w:tc>
      </w:tr>
      <w:tr w:rsidR="00BD1BB9" w:rsidTr="00EA43B8">
        <w:trPr>
          <w:trHeight w:val="240"/>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c>
          <w:tcPr>
            <w:tcW w:w="7315"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BD1BB9" w:rsidTr="00EA43B8">
        <w:trPr>
          <w:trHeight w:val="240"/>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c>
          <w:tcPr>
            <w:tcW w:w="56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股本</w:t>
            </w:r>
          </w:p>
        </w:tc>
        <w:tc>
          <w:tcPr>
            <w:tcW w:w="168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r>
      <w:tr w:rsidR="00BD1BB9" w:rsidTr="00EA43B8">
        <w:trPr>
          <w:trHeight w:val="240"/>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c>
          <w:tcPr>
            <w:tcW w:w="56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优先股</w:t>
            </w: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永续债</w:t>
            </w: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c>
          <w:tcPr>
            <w:tcW w:w="563" w:type="dxa"/>
            <w:vMerge/>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c>
          <w:tcPr>
            <w:tcW w:w="563" w:type="dxa"/>
            <w:vMerge/>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pPr>
          </w:p>
        </w:tc>
        <w:tc>
          <w:tcPr>
            <w:tcW w:w="563" w:type="dxa"/>
            <w:vMerge/>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430BC1">
            <w:pPr>
              <w:adjustRightInd w:val="0"/>
              <w:snapToGrid w:val="0"/>
              <w:spacing w:line="220" w:lineRule="exact"/>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一、上年期末余额</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886,012,887.00</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0.00</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0.00</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0.00</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391,049,342.12</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12,931,116.72</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435,671,944.53</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3,390,032,770.69</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5,115,698,061.06</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5,115,698,061.06</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二、本年期初余额</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886,012,887.00</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391,049,342.12</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12,931,116.72</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435,671,944.53</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3,390,032,770.69</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5,115,698,061.06</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5,115,698,061.06</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1,961,839.53</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-4,435,194.49</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1,587,116.12</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60,067,345.78</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59,181,106.94</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59,181,106.94</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（一）综合收益总额</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-4,435,194.49</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79,374,719.64</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74,939,525.15</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74,939,525.15</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（二）所有者投入和减少资本</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1．所有者投入的普通股</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4．其他</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（三）利润分配</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1,587,116.12</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-19,307,373.86</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-17,720,257.74</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lastRenderedPageBreak/>
              <w:t>1．提取盈余公积</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1,587,116.12</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-1,587,116.12</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2．提取一般风险准备</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3．对所有者（或股东）的分配</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-17,720,257.74</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4．其他</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（四）所有者权益内部结转</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1．资本公积转增资本（或股本）</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2．盈余公积转增资本（或股本）</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3．盈余公积弥补亏损</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6．其他</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（五）专项储备</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1．本期提取</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2．本期使用</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（六）其他</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1,961,839.53</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1,961,839.53</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1,961,839.53</w:t>
            </w:r>
          </w:p>
        </w:tc>
      </w:tr>
      <w:tr w:rsidR="00BD1BB9" w:rsidTr="00EA43B8">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430BC1">
            <w:pPr>
              <w:adjustRightInd w:val="0"/>
              <w:snapToGrid w:val="0"/>
              <w:spacing w:before="40" w:after="40" w:line="220" w:lineRule="exact"/>
              <w:rPr>
                <w:rFonts w:ascii="宋体" w:eastAsia="宋体" w:hAnsi="宋体" w:cs="宋体"/>
                <w:sz w:val="18"/>
                <w:szCs w:val="18"/>
              </w:rPr>
            </w:pPr>
            <w:r>
              <w:rPr>
                <w:rFonts w:ascii="宋体" w:eastAsia="宋体" w:hAnsi="宋体" w:cs="宋体"/>
                <w:sz w:val="18"/>
                <w:szCs w:val="18"/>
              </w:rPr>
              <w:t>四、本期期末余额</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886,012,887.00</w:t>
            </w: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393,011,181.65</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8,495,922.23</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437,259,060.65</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3,450,100,116.47</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5,174,879,168.00</w:t>
            </w: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BD1BB9" w:rsidP="00430BC1">
            <w:pPr>
              <w:adjustRightInd w:val="0"/>
              <w:snapToGrid w:val="0"/>
              <w:spacing w:line="22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D1BB9" w:rsidRDefault="00452DEF" w:rsidP="00430BC1">
            <w:pPr>
              <w:adjustRightInd w:val="0"/>
              <w:snapToGrid w:val="0"/>
              <w:spacing w:line="220" w:lineRule="exact"/>
              <w:jc w:val="right"/>
              <w:rPr>
                <w:rFonts w:ascii="宋体" w:eastAsia="宋体" w:hAnsi="宋体" w:cs="宋体"/>
                <w:sz w:val="18"/>
                <w:szCs w:val="18"/>
              </w:rPr>
            </w:pPr>
            <w:r>
              <w:rPr>
                <w:rFonts w:ascii="宋体" w:eastAsia="宋体" w:hAnsi="宋体" w:cs="宋体"/>
                <w:sz w:val="18"/>
                <w:szCs w:val="18"/>
              </w:rPr>
              <w:t>5,174,879,168.00</w:t>
            </w:r>
          </w:p>
        </w:tc>
      </w:tr>
    </w:tbl>
    <w:p w:rsidR="00430BC1" w:rsidRDefault="00EA43B8" w:rsidP="00EA43B8">
      <w:pPr>
        <w:spacing w:before="100" w:after="100" w:line="240" w:lineRule="exact"/>
        <w:rPr>
          <w:rFonts w:ascii="宋体" w:eastAsia="宋体" w:hAnsi="宋体" w:cs="宋体"/>
          <w:sz w:val="18"/>
          <w:szCs w:val="18"/>
        </w:rPr>
      </w:pPr>
      <w:bookmarkStart w:id="115" w:name="_Toc988985"/>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430BC1" w:rsidRDefault="00430BC1">
      <w:pPr>
        <w:widowControl/>
        <w:rPr>
          <w:rFonts w:ascii="宋体" w:eastAsia="宋体" w:hAnsi="宋体" w:cs="宋体"/>
          <w:sz w:val="18"/>
          <w:szCs w:val="18"/>
        </w:rPr>
      </w:pPr>
      <w:r>
        <w:rPr>
          <w:rFonts w:ascii="宋体" w:eastAsia="宋体" w:hAnsi="宋体" w:cs="宋体"/>
          <w:sz w:val="18"/>
          <w:szCs w:val="18"/>
        </w:rPr>
        <w:br w:type="page"/>
      </w:r>
    </w:p>
    <w:p w:rsidR="00BD1BB9" w:rsidRDefault="00452DEF">
      <w:pPr>
        <w:pStyle w:val="3"/>
        <w:spacing w:line="280" w:lineRule="exact"/>
        <w:jc w:val="left"/>
        <w:rPr>
          <w:rFonts w:ascii="宋体" w:hAnsi="宋体" w:cs="宋体"/>
          <w:b/>
          <w:bCs/>
        </w:rPr>
      </w:pPr>
      <w:r>
        <w:rPr>
          <w:rFonts w:ascii="宋体" w:hAnsi="宋体" w:cs="宋体"/>
          <w:b/>
          <w:bCs/>
        </w:rPr>
        <w:lastRenderedPageBreak/>
        <w:t>8、母公司所有者权益变动表</w:t>
      </w:r>
      <w:bookmarkEnd w:id="115"/>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BD1BB9">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2025年半年度</w:t>
            </w:r>
          </w:p>
        </w:tc>
      </w:tr>
      <w:tr w:rsidR="00BD1BB9">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BD1BB9">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c>
          <w:tcPr>
            <w:tcW w:w="703" w:type="dxa"/>
            <w:vMerge/>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c>
          <w:tcPr>
            <w:tcW w:w="703" w:type="dxa"/>
            <w:vMerge/>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rsidP="00EA43B8">
            <w:pPr>
              <w:adjustRightInd w:val="0"/>
              <w:snapToGrid w:val="0"/>
              <w:spacing w:line="280" w:lineRule="exact"/>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519,145,006.17</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-3,084,490.59</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481,319,101.45</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3,149,708,012.19</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5,033,100,516.22</w:t>
            </w: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519,145,006.17</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-3,084,490.59</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481,319,101.45</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3,149,708,012.19</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5,033,100,516.22</w:t>
            </w: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-93,078.77</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4,704,075.81</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24,616,424.52</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29,227,421.56</w:t>
            </w: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-93,078.77</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47,040,758.07</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46,947,679.30</w:t>
            </w: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lastRenderedPageBreak/>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4,704,075.81</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-22,424,333.55</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-17,720,257.74</w:t>
            </w: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4,704,075.81</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-4,704,075.81</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-17,720,257.74</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-17,720,257.74</w:t>
            </w: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A43B8">
            <w:pPr>
              <w:adjustRightInd w:val="0"/>
              <w:snapToGrid w:val="0"/>
              <w:spacing w:before="40" w:after="40" w:line="280" w:lineRule="exac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519,145,006.17</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-3,177,569.36</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486,023,177.26</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3,174,324,436.71</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rsidP="00EA43B8">
            <w:pPr>
              <w:adjustRightInd w:val="0"/>
              <w:snapToGrid w:val="0"/>
              <w:spacing w:line="28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rsidP="00EA43B8">
            <w:pPr>
              <w:adjustRightInd w:val="0"/>
              <w:snapToGrid w:val="0"/>
              <w:spacing w:line="280" w:lineRule="exact"/>
              <w:jc w:val="right"/>
              <w:rPr>
                <w:rFonts w:ascii="宋体" w:eastAsia="宋体" w:hAnsi="宋体" w:cs="宋体"/>
                <w:sz w:val="18"/>
                <w:szCs w:val="18"/>
              </w:rPr>
            </w:pPr>
            <w:r>
              <w:rPr>
                <w:rFonts w:ascii="宋体" w:eastAsia="宋体" w:hAnsi="宋体" w:cs="宋体"/>
                <w:sz w:val="18"/>
                <w:szCs w:val="18"/>
              </w:rPr>
              <w:t>5,062,327,937.78</w:t>
            </w:r>
          </w:p>
        </w:tc>
      </w:tr>
    </w:tbl>
    <w:p w:rsidR="00EA43B8" w:rsidRDefault="00EA43B8">
      <w:pPr>
        <w:spacing w:before="100" w:after="100" w:line="240" w:lineRule="exact"/>
        <w:rPr>
          <w:rFonts w:ascii="宋体" w:eastAsia="宋体" w:hAnsi="宋体" w:cs="宋体"/>
          <w:sz w:val="18"/>
          <w:szCs w:val="18"/>
        </w:rPr>
      </w:pPr>
    </w:p>
    <w:p w:rsidR="00EA43B8" w:rsidRDefault="00EA43B8">
      <w:pPr>
        <w:spacing w:before="100" w:after="100" w:line="240" w:lineRule="exact"/>
        <w:rPr>
          <w:rFonts w:ascii="宋体" w:eastAsia="宋体" w:hAnsi="宋体" w:cs="宋体"/>
          <w:sz w:val="18"/>
          <w:szCs w:val="18"/>
        </w:rPr>
      </w:pPr>
    </w:p>
    <w:p w:rsidR="00BD1BB9" w:rsidRDefault="00EA43B8" w:rsidP="00EA43B8">
      <w:pPr>
        <w:widowControl/>
        <w:rPr>
          <w:rFonts w:ascii="宋体" w:eastAsia="宋体" w:hAnsi="宋体" w:cs="宋体"/>
          <w:sz w:val="18"/>
          <w:szCs w:val="18"/>
        </w:rPr>
      </w:pPr>
      <w:r>
        <w:rPr>
          <w:rFonts w:ascii="宋体" w:eastAsia="宋体" w:hAnsi="宋体" w:cs="宋体"/>
          <w:sz w:val="18"/>
          <w:szCs w:val="18"/>
        </w:rPr>
        <w:br w:type="page"/>
      </w:r>
      <w:r w:rsidR="00452DEF">
        <w:rPr>
          <w:rFonts w:ascii="宋体" w:eastAsia="宋体" w:hAnsi="宋体" w:cs="宋体"/>
          <w:sz w:val="18"/>
          <w:szCs w:val="18"/>
        </w:rPr>
        <w:lastRenderedPageBreak/>
        <w:t>上年金额</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BD1BB9">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2024年半年度</w:t>
            </w:r>
          </w:p>
        </w:tc>
      </w:tr>
      <w:tr w:rsidR="00BD1BB9">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BD1BB9">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03" w:type="dxa"/>
            <w:vMerge/>
            <w:tcBorders>
              <w:top w:val="single" w:sz="2" w:space="0" w:color="auto"/>
              <w:left w:val="single" w:sz="2" w:space="0" w:color="auto"/>
              <w:bottom w:val="single" w:sz="2" w:space="0" w:color="auto"/>
              <w:right w:val="single" w:sz="2" w:space="0" w:color="auto"/>
            </w:tcBorders>
            <w:vAlign w:val="center"/>
          </w:tcPr>
          <w:p w:rsidR="00BD1BB9" w:rsidRDefault="00BD1BB9"/>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03" w:type="dxa"/>
            <w:vMerge/>
            <w:tcBorders>
              <w:top w:val="single" w:sz="2" w:space="0" w:color="auto"/>
              <w:left w:val="single" w:sz="2" w:space="0" w:color="auto"/>
              <w:bottom w:val="single" w:sz="2" w:space="0" w:color="auto"/>
              <w:right w:val="single" w:sz="2" w:space="0" w:color="auto"/>
            </w:tcBorders>
            <w:vAlign w:val="center"/>
          </w:tcPr>
          <w:p w:rsidR="00BD1BB9" w:rsidRDefault="00BD1BB9"/>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529,662,927.74</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-3,288,583.47</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466,346,065.38</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3,050,391,203.02</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4,929,124,499.67</w:t>
            </w: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529,662,927.74</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-3,288,583.47</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466,346,065.38</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3,050,391,203.02</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4,929,124,499.67</w:t>
            </w: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-321,223.52</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1,587,116.12</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-3,436,212.68</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-2,170,320.08</w:t>
            </w: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-321,223.52</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15,871,161.18</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15,549,937.66</w:t>
            </w: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1,587,116.12</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-19,307,373.86</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1,587,116.12</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-1,587,116.12</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2．对所有</w:t>
            </w:r>
            <w:r>
              <w:rPr>
                <w:rFonts w:ascii="宋体" w:eastAsia="宋体" w:hAnsi="宋体" w:cs="宋体"/>
                <w:sz w:val="18"/>
                <w:szCs w:val="18"/>
              </w:rPr>
              <w:lastRenderedPageBreak/>
              <w:t>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17,720,257.74</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17,720,257.74</w:t>
            </w: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3．其他</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529,662,927.74</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-3,609,806.99</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467,933,181.50</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3,046,954,990.34</w:t>
            </w: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4,926,954,179.59</w:t>
            </w:r>
          </w:p>
        </w:tc>
      </w:tr>
    </w:tbl>
    <w:p w:rsidR="00BD1BB9" w:rsidRDefault="00452DEF">
      <w:pPr>
        <w:pStyle w:val="2"/>
        <w:spacing w:before="300" w:after="300" w:line="320" w:lineRule="exact"/>
        <w:rPr>
          <w:rFonts w:ascii="宋体" w:eastAsia="宋体" w:hAnsi="宋体" w:cs="宋体"/>
          <w:b/>
          <w:bCs/>
          <w:sz w:val="24"/>
          <w:szCs w:val="24"/>
        </w:rPr>
      </w:pPr>
      <w:bookmarkStart w:id="116" w:name="_Toc988986"/>
      <w:r>
        <w:rPr>
          <w:rFonts w:ascii="宋体" w:eastAsia="宋体" w:hAnsi="宋体" w:cs="宋体"/>
          <w:b/>
          <w:bCs/>
          <w:sz w:val="24"/>
          <w:szCs w:val="24"/>
        </w:rPr>
        <w:t>三、公司基本情况</w:t>
      </w:r>
      <w:bookmarkEnd w:id="116"/>
    </w:p>
    <w:p w:rsidR="004A3B7E" w:rsidRPr="00394281" w:rsidRDefault="00452DEF">
      <w:pPr>
        <w:pStyle w:val="3"/>
        <w:spacing w:line="280" w:lineRule="atLeast"/>
        <w:divId w:val="2019115804"/>
        <w:rPr>
          <w:rFonts w:ascii="Calibri" w:hAnsi="Calibri" w:cs="Calibri"/>
        </w:rPr>
      </w:pPr>
      <w:r w:rsidRPr="00394281">
        <w:rPr>
          <w:rStyle w:val="a4"/>
          <w:rFonts w:cs="Calibri" w:hint="eastAsia"/>
          <w:bCs w:val="0"/>
        </w:rPr>
        <w:t>  1</w:t>
      </w:r>
      <w:r w:rsidRPr="00394281">
        <w:rPr>
          <w:rStyle w:val="a4"/>
          <w:rFonts w:cs="Calibri" w:hint="eastAsia"/>
          <w:bCs w:val="0"/>
        </w:rPr>
        <w:t>、公司注册地、组织形式和总部地址</w:t>
      </w:r>
    </w:p>
    <w:p w:rsidR="004A3B7E" w:rsidRDefault="00452DEF">
      <w:pPr>
        <w:pStyle w:val="a3"/>
        <w:spacing w:before="0" w:beforeAutospacing="0" w:after="0" w:afterAutospacing="0" w:line="400" w:lineRule="atLeast"/>
        <w:ind w:firstLine="360"/>
        <w:jc w:val="both"/>
        <w:divId w:val="2019115804"/>
      </w:pPr>
      <w:r>
        <w:rPr>
          <w:rFonts w:hint="eastAsia"/>
          <w:sz w:val="18"/>
          <w:szCs w:val="18"/>
        </w:rPr>
        <w:t>江苏华西村股份有限公司（以下简称“公司”）是经江苏省人民政府苏政复（1999）4号文批准，由江阴市华西实业有限公司变更设立的股份有限公司。1999年7月13日，经中国证券监督管理委员会证监发行字[1999]81号文批准，公司向社会公开发行人民币普通股3,500万股，发行后注册资本为14,000.00万元人民币。1999年8月10日，公司社会公众股在深圳证券交易所挂牌交易。</w:t>
      </w:r>
    </w:p>
    <w:p w:rsidR="004A3B7E" w:rsidRDefault="00452DEF">
      <w:pPr>
        <w:pStyle w:val="a3"/>
        <w:spacing w:before="0" w:beforeAutospacing="0" w:after="0" w:afterAutospacing="0" w:line="400" w:lineRule="atLeast"/>
        <w:ind w:firstLine="360"/>
        <w:jc w:val="both"/>
        <w:divId w:val="2019115804"/>
      </w:pPr>
      <w:r>
        <w:rPr>
          <w:rFonts w:hint="eastAsia"/>
          <w:sz w:val="18"/>
          <w:szCs w:val="18"/>
        </w:rPr>
        <w:t>经过历年送红股、资本公积转增股本、可转债转股及向社会非公开发行后，截至</w:t>
      </w:r>
      <w:r w:rsidR="00F84AE3">
        <w:rPr>
          <w:rFonts w:hint="eastAsia"/>
          <w:sz w:val="18"/>
          <w:szCs w:val="18"/>
        </w:rPr>
        <w:t>2025</w:t>
      </w:r>
      <w:r>
        <w:rPr>
          <w:rFonts w:hint="eastAsia"/>
          <w:sz w:val="18"/>
          <w:szCs w:val="18"/>
        </w:rPr>
        <w:t>年</w:t>
      </w:r>
      <w:r w:rsidR="00F84AE3">
        <w:rPr>
          <w:rFonts w:hint="eastAsia"/>
          <w:sz w:val="18"/>
          <w:szCs w:val="18"/>
        </w:rPr>
        <w:t>6</w:t>
      </w:r>
      <w:r>
        <w:rPr>
          <w:rFonts w:hint="eastAsia"/>
          <w:sz w:val="18"/>
          <w:szCs w:val="18"/>
        </w:rPr>
        <w:t>月</w:t>
      </w:r>
      <w:r w:rsidR="00F84AE3">
        <w:rPr>
          <w:rFonts w:hint="eastAsia"/>
          <w:sz w:val="18"/>
          <w:szCs w:val="18"/>
        </w:rPr>
        <w:t>30</w:t>
      </w:r>
      <w:r w:rsidR="006B6998">
        <w:rPr>
          <w:rFonts w:hint="eastAsia"/>
          <w:sz w:val="18"/>
          <w:szCs w:val="18"/>
        </w:rPr>
        <w:t>日</w:t>
      </w:r>
      <w:r>
        <w:rPr>
          <w:rFonts w:hint="eastAsia"/>
          <w:sz w:val="18"/>
          <w:szCs w:val="18"/>
        </w:rPr>
        <w:t>，公司注册资本为886,012,887.00元，实收资本（股本）886,012,887.00元。</w:t>
      </w:r>
    </w:p>
    <w:p w:rsidR="004A3B7E" w:rsidRDefault="00452DEF">
      <w:pPr>
        <w:pStyle w:val="a3"/>
        <w:spacing w:before="0" w:beforeAutospacing="0" w:after="0" w:afterAutospacing="0" w:line="400" w:lineRule="atLeast"/>
        <w:ind w:firstLine="360"/>
        <w:jc w:val="both"/>
        <w:divId w:val="2019115804"/>
      </w:pPr>
      <w:r>
        <w:rPr>
          <w:rFonts w:hint="eastAsia"/>
          <w:sz w:val="18"/>
          <w:szCs w:val="18"/>
        </w:rPr>
        <w:t>公司统一社会信用代码为91320200142273776W。公司注册地址和总部地址均为江阴市华士镇华西村。</w:t>
      </w:r>
    </w:p>
    <w:p w:rsidR="004A3B7E" w:rsidRPr="00394281" w:rsidRDefault="00452DEF">
      <w:pPr>
        <w:pStyle w:val="3"/>
        <w:spacing w:line="280" w:lineRule="atLeast"/>
        <w:divId w:val="2019115804"/>
        <w:rPr>
          <w:rFonts w:ascii="Calibri" w:hAnsi="Calibri" w:cs="Calibri"/>
        </w:rPr>
      </w:pPr>
      <w:r w:rsidRPr="00394281">
        <w:rPr>
          <w:rStyle w:val="a4"/>
          <w:rFonts w:cs="Calibri" w:hint="eastAsia"/>
          <w:bCs w:val="0"/>
        </w:rPr>
        <w:lastRenderedPageBreak/>
        <w:t>  2</w:t>
      </w:r>
      <w:r w:rsidRPr="00394281">
        <w:rPr>
          <w:rStyle w:val="a4"/>
          <w:rFonts w:cs="Calibri" w:hint="eastAsia"/>
          <w:bCs w:val="0"/>
        </w:rPr>
        <w:t>、公司实际从事的主要经营活动</w:t>
      </w:r>
    </w:p>
    <w:p w:rsidR="004A3B7E" w:rsidRDefault="00452DEF">
      <w:pPr>
        <w:pStyle w:val="a3"/>
        <w:spacing w:before="0" w:beforeAutospacing="0" w:after="0" w:afterAutospacing="0" w:line="400" w:lineRule="atLeast"/>
        <w:ind w:firstLine="342"/>
        <w:jc w:val="both"/>
        <w:divId w:val="2019115804"/>
      </w:pPr>
      <w:r>
        <w:rPr>
          <w:rFonts w:hint="eastAsia"/>
          <w:sz w:val="18"/>
          <w:szCs w:val="18"/>
        </w:rPr>
        <w:t>公司经营范围：创业投资；利用自有资产对外投资；化学纤维的制造、加工；国内贸易（不含国家限制及禁止类项目）；自营和代理各类商品及技术的进出口业务（国家限定企业经营或禁止进出口的商品和技术除外）；企业管理服务；化学纤维材料的研发、技术咨询、技术服务与技术转让。（依法须经批准的项目，经相关部门批准后方可开展经营活动）。许可项目：港口经营（依法须经批准的项目，经相关部门批准后方可开展经营活动，具体经营项目以审批结果为准）。 一般项目：普通货物仓储服务（不含危险化学品等需许可审批的项目）（除依法须经批准的项目外，凭营业执照依法自主开展经营活动）。 </w:t>
      </w:r>
    </w:p>
    <w:p w:rsidR="004A3B7E" w:rsidRDefault="00452DEF">
      <w:pPr>
        <w:pStyle w:val="a3"/>
        <w:spacing w:before="0" w:beforeAutospacing="0" w:after="0" w:afterAutospacing="0" w:line="400" w:lineRule="atLeast"/>
        <w:ind w:firstLine="342"/>
        <w:jc w:val="both"/>
        <w:divId w:val="2019115804"/>
      </w:pPr>
      <w:r>
        <w:rPr>
          <w:rFonts w:hint="eastAsia"/>
          <w:sz w:val="18"/>
          <w:szCs w:val="18"/>
        </w:rPr>
        <w:t>公司业务性质：投资业务，化纤的生产销售和液体化工仓储。</w:t>
      </w:r>
    </w:p>
    <w:p w:rsidR="004A3B7E" w:rsidRPr="00394281" w:rsidRDefault="00452DEF">
      <w:pPr>
        <w:pStyle w:val="3"/>
        <w:spacing w:line="280" w:lineRule="atLeast"/>
        <w:divId w:val="2019115804"/>
        <w:rPr>
          <w:rFonts w:ascii="Calibri" w:hAnsi="Calibri" w:cs="Calibri"/>
        </w:rPr>
      </w:pPr>
      <w:r w:rsidRPr="00394281">
        <w:rPr>
          <w:rStyle w:val="a4"/>
          <w:rFonts w:cs="Calibri" w:hint="eastAsia"/>
          <w:bCs w:val="0"/>
        </w:rPr>
        <w:t>  3</w:t>
      </w:r>
      <w:r w:rsidRPr="00394281">
        <w:rPr>
          <w:rStyle w:val="a4"/>
          <w:rFonts w:cs="Calibri" w:hint="eastAsia"/>
          <w:bCs w:val="0"/>
        </w:rPr>
        <w:t>、财务报告的批准报出</w:t>
      </w:r>
    </w:p>
    <w:p w:rsidR="004A3B7E" w:rsidRDefault="00452DEF">
      <w:pPr>
        <w:pStyle w:val="a3"/>
        <w:spacing w:before="0" w:beforeAutospacing="0" w:after="0" w:afterAutospacing="0" w:line="400" w:lineRule="atLeast"/>
        <w:ind w:firstLine="360"/>
        <w:jc w:val="both"/>
        <w:textAlignment w:val="bottom"/>
        <w:divId w:val="2019115804"/>
      </w:pPr>
      <w:r>
        <w:rPr>
          <w:rFonts w:hint="eastAsia"/>
          <w:sz w:val="18"/>
          <w:szCs w:val="18"/>
        </w:rPr>
        <w:t>本财务报表业经本公司董事会于2025年8月28日决议批准报出。</w:t>
      </w:r>
    </w:p>
    <w:p w:rsidR="00BD1BB9" w:rsidRDefault="00452DEF">
      <w:pPr>
        <w:pStyle w:val="2"/>
        <w:spacing w:before="300" w:after="300" w:line="320" w:lineRule="exact"/>
        <w:rPr>
          <w:rFonts w:ascii="宋体" w:eastAsia="宋体" w:hAnsi="宋体" w:cs="宋体"/>
          <w:b/>
          <w:bCs/>
          <w:sz w:val="24"/>
          <w:szCs w:val="24"/>
        </w:rPr>
      </w:pPr>
      <w:bookmarkStart w:id="117" w:name="_Toc988987"/>
      <w:r>
        <w:rPr>
          <w:rFonts w:ascii="宋体" w:eastAsia="宋体" w:hAnsi="宋体" w:cs="宋体"/>
          <w:b/>
          <w:bCs/>
          <w:sz w:val="24"/>
          <w:szCs w:val="24"/>
        </w:rPr>
        <w:t>四、财务报表的编制基础</w:t>
      </w:r>
      <w:bookmarkEnd w:id="117"/>
    </w:p>
    <w:p w:rsidR="00BD1BB9" w:rsidRDefault="00452DEF">
      <w:pPr>
        <w:pStyle w:val="3"/>
        <w:spacing w:line="280" w:lineRule="exact"/>
        <w:jc w:val="left"/>
        <w:rPr>
          <w:rFonts w:ascii="宋体" w:hAnsi="宋体" w:cs="宋体"/>
          <w:b/>
          <w:bCs/>
        </w:rPr>
      </w:pPr>
      <w:bookmarkStart w:id="118" w:name="_Toc988988"/>
      <w:r>
        <w:rPr>
          <w:rFonts w:ascii="宋体" w:hAnsi="宋体" w:cs="宋体"/>
          <w:b/>
          <w:bCs/>
        </w:rPr>
        <w:t>1、编制基础</w:t>
      </w:r>
      <w:bookmarkEnd w:id="118"/>
    </w:p>
    <w:p w:rsidR="004A3B7E" w:rsidRDefault="00452DEF">
      <w:pPr>
        <w:pStyle w:val="a3"/>
        <w:spacing w:before="0" w:beforeAutospacing="0" w:after="0" w:afterAutospacing="0" w:line="400" w:lineRule="atLeast"/>
        <w:ind w:firstLine="360"/>
        <w:jc w:val="both"/>
        <w:divId w:val="485362609"/>
      </w:pPr>
      <w:r>
        <w:rPr>
          <w:rFonts w:hint="eastAsia"/>
          <w:sz w:val="18"/>
          <w:szCs w:val="18"/>
        </w:rPr>
        <w:t>本公司财务报表以持续经营假设为基础，根据实际发生的交易和事项，按照财政部发布的《企业会计准则——基本准则》和各项具体会计准则、企业会计准则应用指南、企业会计准则解释及其他相关规定（以下合称“企业会计准则”），以及中国证券监督管理委员会《公开发行证券的公司信息披露编报规则第15号——财务报告的一般规定》（2023年修订）的规定编制。</w:t>
      </w:r>
    </w:p>
    <w:p w:rsidR="004A3B7E" w:rsidRDefault="00452DEF">
      <w:pPr>
        <w:pStyle w:val="a3"/>
        <w:spacing w:before="0" w:beforeAutospacing="0" w:after="0" w:afterAutospacing="0" w:line="400" w:lineRule="atLeast"/>
        <w:ind w:firstLine="360"/>
        <w:jc w:val="both"/>
        <w:divId w:val="485362609"/>
      </w:pPr>
      <w:r>
        <w:rPr>
          <w:rFonts w:hint="eastAsia"/>
          <w:sz w:val="18"/>
          <w:szCs w:val="18"/>
        </w:rPr>
        <w:t>根据企业会计准则的相关规定，本公司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rsidR="00BD1BB9" w:rsidRDefault="00452DEF">
      <w:pPr>
        <w:pStyle w:val="3"/>
        <w:spacing w:line="280" w:lineRule="exact"/>
        <w:jc w:val="left"/>
        <w:rPr>
          <w:rFonts w:ascii="宋体" w:hAnsi="宋体" w:cs="宋体"/>
          <w:b/>
          <w:bCs/>
        </w:rPr>
      </w:pPr>
      <w:bookmarkStart w:id="119" w:name="_Toc988989"/>
      <w:r>
        <w:rPr>
          <w:rFonts w:ascii="宋体" w:hAnsi="宋体" w:cs="宋体"/>
          <w:b/>
          <w:bCs/>
        </w:rPr>
        <w:t>2、持续经营</w:t>
      </w:r>
      <w:bookmarkEnd w:id="119"/>
    </w:p>
    <w:p w:rsidR="004A3B7E" w:rsidRDefault="00452DEF">
      <w:pPr>
        <w:pStyle w:val="a3"/>
        <w:spacing w:before="0" w:beforeAutospacing="0" w:after="0" w:afterAutospacing="0" w:line="400" w:lineRule="atLeast"/>
        <w:ind w:firstLine="360"/>
        <w:jc w:val="both"/>
        <w:divId w:val="457993743"/>
      </w:pPr>
      <w:r>
        <w:rPr>
          <w:rFonts w:hint="eastAsia"/>
          <w:sz w:val="18"/>
          <w:szCs w:val="18"/>
        </w:rPr>
        <w:t>本财务报表以持续经营为基础列报，本公司自报告期末起至少12个月具有持续经营能力。</w:t>
      </w:r>
    </w:p>
    <w:p w:rsidR="00BD1BB9" w:rsidRDefault="00452DEF">
      <w:pPr>
        <w:pStyle w:val="2"/>
        <w:spacing w:before="300" w:after="300" w:line="560" w:lineRule="exact"/>
        <w:rPr>
          <w:rFonts w:ascii="宋体" w:eastAsia="宋体" w:hAnsi="宋体" w:cs="宋体"/>
          <w:b/>
          <w:bCs/>
          <w:sz w:val="24"/>
          <w:szCs w:val="24"/>
        </w:rPr>
      </w:pPr>
      <w:bookmarkStart w:id="120" w:name="_Toc988990"/>
      <w:r>
        <w:rPr>
          <w:rFonts w:ascii="宋体" w:eastAsia="宋体" w:hAnsi="宋体" w:cs="宋体"/>
          <w:b/>
          <w:bCs/>
          <w:sz w:val="24"/>
          <w:szCs w:val="24"/>
        </w:rPr>
        <w:t>五、重要会计政策及会计估计</w:t>
      </w:r>
      <w:bookmarkEnd w:id="120"/>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具体会计政策和会计估计提示：</w:t>
      </w:r>
    </w:p>
    <w:p w:rsidR="004A3B7E" w:rsidRDefault="00452DEF">
      <w:pPr>
        <w:pStyle w:val="a3"/>
        <w:spacing w:before="0" w:beforeAutospacing="0" w:after="0" w:afterAutospacing="0" w:line="400" w:lineRule="atLeast"/>
        <w:ind w:firstLine="360"/>
        <w:jc w:val="both"/>
        <w:divId w:val="1571380593"/>
      </w:pPr>
      <w:r>
        <w:rPr>
          <w:rFonts w:hint="eastAsia"/>
          <w:sz w:val="18"/>
          <w:szCs w:val="18"/>
        </w:rPr>
        <w:t>本公司及各子公司从事投资业务、化纤的生产销售和液体化工仓储经营。本公司及各子公司根据实际生产经营特点，依据相关企业会计准则的规定，对各项交易和事项制定了若干项具体会计政策和会计估计，详见如下各项描述。</w:t>
      </w:r>
    </w:p>
    <w:p w:rsidR="00BD1BB9" w:rsidRDefault="00452DEF">
      <w:pPr>
        <w:pStyle w:val="3"/>
        <w:spacing w:line="280" w:lineRule="exact"/>
        <w:jc w:val="left"/>
        <w:rPr>
          <w:rFonts w:ascii="宋体" w:hAnsi="宋体" w:cs="宋体"/>
          <w:b/>
          <w:bCs/>
        </w:rPr>
      </w:pPr>
      <w:bookmarkStart w:id="121" w:name="_Toc988991"/>
      <w:r>
        <w:rPr>
          <w:rFonts w:ascii="宋体" w:hAnsi="宋体" w:cs="宋体"/>
          <w:b/>
          <w:bCs/>
        </w:rPr>
        <w:lastRenderedPageBreak/>
        <w:t>1、遵循企业会计准则的声明</w:t>
      </w:r>
      <w:bookmarkEnd w:id="121"/>
    </w:p>
    <w:p w:rsidR="004A3B7E" w:rsidRDefault="00452DEF">
      <w:pPr>
        <w:pStyle w:val="a3"/>
        <w:spacing w:before="0" w:beforeAutospacing="0" w:after="0" w:afterAutospacing="0" w:line="400" w:lineRule="atLeast"/>
        <w:ind w:firstLine="360"/>
        <w:jc w:val="both"/>
        <w:divId w:val="1732339736"/>
      </w:pPr>
      <w:r>
        <w:rPr>
          <w:rFonts w:hint="eastAsia"/>
          <w:sz w:val="18"/>
          <w:szCs w:val="18"/>
        </w:rPr>
        <w:t>本公司编制的财务报表符合企业会计准则的要求，真实、完整地反映了本公司2025年6月30日的合并及母公司财务状况及2025年半年度的合并及母公司经营成果和合并及母公司现金流量等有关信息。</w:t>
      </w:r>
    </w:p>
    <w:p w:rsidR="00BD1BB9" w:rsidRDefault="00452DEF">
      <w:pPr>
        <w:pStyle w:val="3"/>
        <w:spacing w:line="280" w:lineRule="exact"/>
        <w:jc w:val="left"/>
        <w:rPr>
          <w:rFonts w:ascii="宋体" w:hAnsi="宋体" w:cs="宋体"/>
          <w:b/>
          <w:bCs/>
        </w:rPr>
      </w:pPr>
      <w:bookmarkStart w:id="122" w:name="_Toc988992"/>
      <w:r>
        <w:rPr>
          <w:rFonts w:ascii="宋体" w:hAnsi="宋体" w:cs="宋体"/>
          <w:b/>
          <w:bCs/>
        </w:rPr>
        <w:t>2、会计期间</w:t>
      </w:r>
      <w:bookmarkEnd w:id="122"/>
    </w:p>
    <w:p w:rsidR="004A3B7E" w:rsidRDefault="00452DEF">
      <w:pPr>
        <w:pStyle w:val="a3"/>
        <w:spacing w:before="0" w:beforeAutospacing="0" w:after="0" w:afterAutospacing="0" w:line="400" w:lineRule="atLeast"/>
        <w:ind w:firstLine="360"/>
        <w:jc w:val="both"/>
        <w:divId w:val="50659681"/>
      </w:pPr>
      <w:r>
        <w:rPr>
          <w:rFonts w:hint="eastAsia"/>
          <w:sz w:val="18"/>
          <w:szCs w:val="18"/>
        </w:rPr>
        <w:t>本公司会计年度采用公历年度，即每年自1月1日起至12月31日止。</w:t>
      </w:r>
    </w:p>
    <w:p w:rsidR="00BD1BB9" w:rsidRDefault="00452DEF">
      <w:pPr>
        <w:pStyle w:val="3"/>
        <w:spacing w:line="280" w:lineRule="exact"/>
        <w:jc w:val="left"/>
        <w:rPr>
          <w:rFonts w:ascii="宋体" w:hAnsi="宋体" w:cs="宋体"/>
          <w:b/>
          <w:bCs/>
        </w:rPr>
      </w:pPr>
      <w:bookmarkStart w:id="123" w:name="_Toc988993"/>
      <w:r>
        <w:rPr>
          <w:rFonts w:ascii="宋体" w:hAnsi="宋体" w:cs="宋体"/>
          <w:b/>
          <w:bCs/>
        </w:rPr>
        <w:t>3、营业周期</w:t>
      </w:r>
      <w:bookmarkEnd w:id="123"/>
    </w:p>
    <w:p w:rsidR="004A3B7E" w:rsidRDefault="00452DEF">
      <w:pPr>
        <w:pStyle w:val="a3"/>
        <w:spacing w:before="0" w:beforeAutospacing="0" w:after="0" w:afterAutospacing="0" w:line="400" w:lineRule="atLeast"/>
        <w:ind w:firstLine="360"/>
        <w:jc w:val="both"/>
        <w:divId w:val="2067798322"/>
      </w:pPr>
      <w:r>
        <w:rPr>
          <w:rFonts w:hint="eastAsia"/>
          <w:sz w:val="18"/>
          <w:szCs w:val="18"/>
        </w:rPr>
        <w:t>本公司以12个月作为一个营业周期，并以其作为资产和负债的流动性划分标准。</w:t>
      </w:r>
    </w:p>
    <w:p w:rsidR="00BD1BB9" w:rsidRDefault="00452DEF">
      <w:pPr>
        <w:pStyle w:val="3"/>
        <w:spacing w:line="280" w:lineRule="exact"/>
        <w:jc w:val="left"/>
        <w:rPr>
          <w:rFonts w:ascii="宋体" w:hAnsi="宋体" w:cs="宋体"/>
          <w:b/>
          <w:bCs/>
        </w:rPr>
      </w:pPr>
      <w:bookmarkStart w:id="124" w:name="_Toc988994"/>
      <w:r>
        <w:rPr>
          <w:rFonts w:ascii="宋体" w:hAnsi="宋体" w:cs="宋体"/>
          <w:b/>
          <w:bCs/>
        </w:rPr>
        <w:t>4、记账本位币</w:t>
      </w:r>
      <w:bookmarkEnd w:id="124"/>
    </w:p>
    <w:p w:rsidR="004A3B7E" w:rsidRDefault="00452DEF">
      <w:pPr>
        <w:pStyle w:val="a3"/>
        <w:spacing w:before="0" w:beforeAutospacing="0" w:after="0" w:afterAutospacing="0" w:line="400" w:lineRule="atLeast"/>
        <w:ind w:firstLine="360"/>
        <w:divId w:val="583414931"/>
      </w:pPr>
      <w:r>
        <w:rPr>
          <w:rFonts w:hint="eastAsia"/>
          <w:color w:val="000000"/>
          <w:sz w:val="18"/>
          <w:szCs w:val="18"/>
        </w:rPr>
        <w:t>人民币为本公司及境内子公司经营所处的主要经济环境中的货币，本公司及境内子公司以人民币为记账本位币。本公司之境外子公司根据其经营所处的主要经济环境中的货币确定人民币为其记账本位币。本公司编制本财务报表时所采用的货币为人民币。</w:t>
      </w:r>
    </w:p>
    <w:p w:rsidR="00BD1BB9" w:rsidRDefault="00452DEF">
      <w:pPr>
        <w:pStyle w:val="3"/>
        <w:spacing w:line="280" w:lineRule="exact"/>
        <w:jc w:val="left"/>
        <w:rPr>
          <w:rFonts w:ascii="宋体" w:hAnsi="宋体" w:cs="宋体"/>
          <w:b/>
          <w:bCs/>
        </w:rPr>
      </w:pPr>
      <w:bookmarkStart w:id="125" w:name="_Toc988995"/>
      <w:r>
        <w:rPr>
          <w:rFonts w:ascii="宋体" w:hAnsi="宋体" w:cs="宋体"/>
          <w:b/>
          <w:bCs/>
        </w:rPr>
        <w:t>5、重要性标准确定方法和选择依据</w:t>
      </w:r>
      <w:bookmarkEnd w:id="125"/>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重要性标准</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重要的单项计提坏账准备的应收款项</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金额&gt;500 万</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重要的在建工程</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金额&gt;500 万</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重要的应付账款</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金额&gt;500 万</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重要的预收款项</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金额&gt;500 万</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重要的合同负债</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金额&gt;500 万</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重要的其他应付款</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金额&gt;500 万</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重要的投资活动有关的现金</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金额&gt;2000万</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重要的合营企业或联营企业</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对合营企业或联营企业的长期股权投资账面价值占集团总资产&gt;5%</w:t>
            </w:r>
          </w:p>
        </w:tc>
      </w:tr>
    </w:tbl>
    <w:p w:rsidR="00BD1BB9" w:rsidRDefault="00452DEF">
      <w:pPr>
        <w:pStyle w:val="3"/>
        <w:spacing w:line="280" w:lineRule="exact"/>
        <w:jc w:val="left"/>
        <w:rPr>
          <w:rFonts w:ascii="宋体" w:hAnsi="宋体" w:cs="宋体"/>
          <w:b/>
          <w:bCs/>
        </w:rPr>
      </w:pPr>
      <w:bookmarkStart w:id="126" w:name="_Toc988996"/>
      <w:r>
        <w:rPr>
          <w:rFonts w:ascii="宋体" w:hAnsi="宋体" w:cs="宋体"/>
          <w:b/>
          <w:bCs/>
        </w:rPr>
        <w:t>6、同一控制下和非同一控制下企业合并的会计处理方法</w:t>
      </w:r>
      <w:bookmarkEnd w:id="126"/>
    </w:p>
    <w:p w:rsidR="004A3B7E" w:rsidRDefault="00452DEF">
      <w:pPr>
        <w:pStyle w:val="a3"/>
        <w:spacing w:before="0" w:beforeAutospacing="0" w:after="0" w:afterAutospacing="0" w:line="400" w:lineRule="atLeast"/>
        <w:ind w:left="3" w:firstLine="360"/>
        <w:jc w:val="both"/>
        <w:divId w:val="218708663"/>
      </w:pPr>
      <w:r>
        <w:rPr>
          <w:rFonts w:hint="eastAsia"/>
          <w:sz w:val="18"/>
          <w:szCs w:val="18"/>
        </w:rPr>
        <w:t>企业合并，是指将两个或两个以上单独的企业合并形成一个报告主体的交易或事项。企业合并分为同一控制下企业合并和非同一控制下企业合并。</w:t>
      </w:r>
    </w:p>
    <w:p w:rsidR="004A3B7E" w:rsidRDefault="00452DEF">
      <w:pPr>
        <w:pStyle w:val="a3"/>
        <w:spacing w:before="0" w:beforeAutospacing="0" w:after="0" w:afterAutospacing="0" w:line="400" w:lineRule="atLeast"/>
        <w:ind w:firstLine="360"/>
        <w:jc w:val="both"/>
        <w:divId w:val="218708663"/>
      </w:pPr>
      <w:r>
        <w:rPr>
          <w:rFonts w:hint="eastAsia"/>
          <w:sz w:val="18"/>
          <w:szCs w:val="18"/>
        </w:rPr>
        <w:t>（1）同一控制下企业合并</w:t>
      </w:r>
    </w:p>
    <w:p w:rsidR="004A3B7E" w:rsidRDefault="00452DEF">
      <w:pPr>
        <w:pStyle w:val="a3"/>
        <w:spacing w:before="0" w:beforeAutospacing="0" w:after="0" w:afterAutospacing="0" w:line="400" w:lineRule="atLeast"/>
        <w:ind w:firstLine="360"/>
        <w:jc w:val="both"/>
        <w:divId w:val="218708663"/>
      </w:pPr>
      <w:r>
        <w:rPr>
          <w:rFonts w:hint="eastAsia"/>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rsidR="004A3B7E" w:rsidRDefault="00452DEF">
      <w:pPr>
        <w:pStyle w:val="a3"/>
        <w:spacing w:before="0" w:beforeAutospacing="0" w:after="0" w:afterAutospacing="0" w:line="400" w:lineRule="atLeast"/>
        <w:ind w:firstLine="360"/>
        <w:jc w:val="both"/>
        <w:divId w:val="218708663"/>
      </w:pPr>
      <w:r>
        <w:rPr>
          <w:rFonts w:hint="eastAsia"/>
          <w:sz w:val="18"/>
          <w:szCs w:val="18"/>
        </w:rPr>
        <w:lastRenderedPageBreak/>
        <w:t>公司在企业合并中取得的资产和负债，按照合并日被合并方资产、负债（包括最终控制方收购被合并方形成的商誉）在最终控制方合并财务报表中的账面价值计量；取得的净资产账面价值与支付的合并对价账面价值（或发行股份面值总额）的差额，调整资本公积中的股本溢价，资本公积中股本溢价不足冲减的，调整留存收益。</w:t>
      </w:r>
    </w:p>
    <w:p w:rsidR="004A3B7E" w:rsidRDefault="00452DEF">
      <w:pPr>
        <w:pStyle w:val="a3"/>
        <w:spacing w:before="0" w:beforeAutospacing="0" w:after="0" w:afterAutospacing="0" w:line="400" w:lineRule="atLeast"/>
        <w:ind w:firstLine="360"/>
        <w:jc w:val="both"/>
        <w:divId w:val="218708663"/>
      </w:pPr>
      <w:r>
        <w:rPr>
          <w:rFonts w:hint="eastAsia"/>
          <w:sz w:val="18"/>
          <w:szCs w:val="18"/>
        </w:rPr>
        <w:t>合并方为进行企业合并发生的各项直接费用，于发生时计入当期损益。</w:t>
      </w:r>
    </w:p>
    <w:p w:rsidR="004A3B7E" w:rsidRDefault="00452DEF">
      <w:pPr>
        <w:pStyle w:val="a3"/>
        <w:spacing w:before="0" w:beforeAutospacing="0" w:after="0" w:afterAutospacing="0" w:line="400" w:lineRule="atLeast"/>
        <w:ind w:firstLine="360"/>
        <w:jc w:val="both"/>
        <w:divId w:val="218708663"/>
      </w:pPr>
      <w:r>
        <w:rPr>
          <w:rFonts w:hint="eastAsia"/>
          <w:sz w:val="18"/>
          <w:szCs w:val="18"/>
        </w:rPr>
        <w:t>（2）非同一控制下企业合并</w:t>
      </w:r>
    </w:p>
    <w:p w:rsidR="004A3B7E" w:rsidRDefault="00452DEF">
      <w:pPr>
        <w:pStyle w:val="a3"/>
        <w:spacing w:before="0" w:beforeAutospacing="0" w:after="0" w:afterAutospacing="0" w:line="400" w:lineRule="atLeast"/>
        <w:ind w:firstLine="360"/>
        <w:jc w:val="both"/>
        <w:divId w:val="218708663"/>
      </w:pPr>
      <w:r>
        <w:rPr>
          <w:rFonts w:hint="eastAsia"/>
          <w:sz w:val="18"/>
          <w:szCs w:val="18"/>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rsidR="004A3B7E" w:rsidRDefault="00452DEF">
      <w:pPr>
        <w:pStyle w:val="a3"/>
        <w:spacing w:before="0" w:beforeAutospacing="0" w:after="0" w:afterAutospacing="0" w:line="400" w:lineRule="atLeast"/>
        <w:ind w:firstLine="360"/>
        <w:jc w:val="both"/>
        <w:divId w:val="218708663"/>
      </w:pPr>
      <w:r>
        <w:rPr>
          <w:rFonts w:hint="eastAsia"/>
          <w:sz w:val="18"/>
          <w:szCs w:val="18"/>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12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rsidR="004A3B7E" w:rsidRDefault="00452DEF">
      <w:pPr>
        <w:pStyle w:val="a3"/>
        <w:spacing w:before="0" w:beforeAutospacing="0" w:after="0" w:afterAutospacing="0" w:line="400" w:lineRule="atLeast"/>
        <w:ind w:firstLine="360"/>
        <w:jc w:val="both"/>
        <w:divId w:val="218708663"/>
      </w:pPr>
      <w:r>
        <w:rPr>
          <w:rFonts w:hint="eastAsia"/>
          <w:sz w:val="18"/>
          <w:szCs w:val="18"/>
        </w:rPr>
        <w:t>购买方取得被购买方的可抵扣暂时性差异，在购买日因不符合递延所得税资产确认条件而未予确认的，在购买日后12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rsidR="004A3B7E" w:rsidRDefault="00452DEF">
      <w:pPr>
        <w:pStyle w:val="a3"/>
        <w:spacing w:before="0" w:beforeAutospacing="0" w:after="0" w:afterAutospacing="0" w:line="400" w:lineRule="atLeast"/>
        <w:ind w:firstLine="360"/>
        <w:jc w:val="both"/>
        <w:divId w:val="218708663"/>
      </w:pPr>
      <w:r>
        <w:rPr>
          <w:rFonts w:hint="eastAsia"/>
          <w:sz w:val="18"/>
          <w:szCs w:val="18"/>
        </w:rPr>
        <w:t>通过多次交易分步实现的非同一控制下企业合并，属于“一揽子交易”的，参考本部分前面各段描述及本</w:t>
      </w:r>
      <w:r>
        <w:rPr>
          <w:rFonts w:hint="eastAsia"/>
          <w:sz w:val="18"/>
          <w:szCs w:val="18"/>
          <w:shd w:val="clear" w:color="auto" w:fill="FFFFFF"/>
        </w:rPr>
        <w:t>附注五、14“长期股权投资”进</w:t>
      </w:r>
      <w:r>
        <w:rPr>
          <w:rFonts w:hint="eastAsia"/>
          <w:sz w:val="18"/>
          <w:szCs w:val="18"/>
        </w:rPr>
        <w:t>行会计处理；不属于“一揽子交易”的，区分个别财务报表和合并财务报表进行相关会计处理：</w:t>
      </w:r>
    </w:p>
    <w:p w:rsidR="004A3B7E" w:rsidRDefault="00452DEF">
      <w:pPr>
        <w:pStyle w:val="a3"/>
        <w:spacing w:before="0" w:beforeAutospacing="0" w:after="0" w:afterAutospacing="0" w:line="400" w:lineRule="atLeast"/>
        <w:ind w:firstLine="360"/>
        <w:jc w:val="both"/>
        <w:divId w:val="218708663"/>
      </w:pPr>
      <w:r>
        <w:rPr>
          <w:rFonts w:hint="eastAsia"/>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即，除了按照权益法核算的在被购买方重新计量设定受益计划净负债或净资产导致的变动中的相应份额以外，其余转入当期投资收益）。</w:t>
      </w:r>
    </w:p>
    <w:p w:rsidR="004A3B7E" w:rsidRDefault="00452DEF">
      <w:pPr>
        <w:pStyle w:val="a3"/>
        <w:spacing w:before="0" w:beforeAutospacing="0" w:after="0" w:afterAutospacing="0" w:line="400" w:lineRule="atLeast"/>
        <w:ind w:firstLine="360"/>
        <w:jc w:val="both"/>
        <w:divId w:val="218708663"/>
      </w:pPr>
      <w:r>
        <w:rPr>
          <w:rFonts w:hint="eastAsia"/>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即，除了按照权益法核算的在被购买方重新计量设定受益计划净负债或净资产导致的变动中的相应份额以外，其余转为购买日所属当期投资收益）。</w:t>
      </w:r>
    </w:p>
    <w:p w:rsidR="00BD1BB9" w:rsidRDefault="00452DEF">
      <w:pPr>
        <w:pStyle w:val="3"/>
        <w:spacing w:line="280" w:lineRule="exact"/>
        <w:jc w:val="left"/>
        <w:rPr>
          <w:rFonts w:ascii="宋体" w:hAnsi="宋体" w:cs="宋体"/>
          <w:b/>
          <w:bCs/>
        </w:rPr>
      </w:pPr>
      <w:bookmarkStart w:id="127" w:name="_Toc988997"/>
      <w:r>
        <w:rPr>
          <w:rFonts w:ascii="宋体" w:hAnsi="宋体" w:cs="宋体"/>
          <w:b/>
          <w:bCs/>
        </w:rPr>
        <w:t>7、控制的判断标准和合并财务报表的编制方法</w:t>
      </w:r>
      <w:bookmarkEnd w:id="127"/>
    </w:p>
    <w:p w:rsidR="004A3B7E" w:rsidRDefault="00452DEF">
      <w:pPr>
        <w:pStyle w:val="a3"/>
        <w:spacing w:before="0" w:beforeAutospacing="0" w:after="0" w:afterAutospacing="0" w:line="400" w:lineRule="atLeast"/>
        <w:ind w:firstLine="360"/>
        <w:jc w:val="both"/>
        <w:divId w:val="723139744"/>
      </w:pPr>
      <w:r>
        <w:rPr>
          <w:rFonts w:hint="eastAsia"/>
          <w:sz w:val="18"/>
          <w:szCs w:val="18"/>
        </w:rPr>
        <w:t>（1）控制的判断标准</w:t>
      </w:r>
    </w:p>
    <w:p w:rsidR="004A3B7E" w:rsidRDefault="00452DEF">
      <w:pPr>
        <w:pStyle w:val="a3"/>
        <w:spacing w:before="0" w:beforeAutospacing="0" w:after="0" w:afterAutospacing="0" w:line="400" w:lineRule="atLeast"/>
        <w:ind w:firstLine="360"/>
        <w:jc w:val="both"/>
        <w:divId w:val="723139744"/>
      </w:pPr>
      <w:r>
        <w:rPr>
          <w:rFonts w:hint="eastAsia"/>
          <w:sz w:val="18"/>
          <w:szCs w:val="18"/>
        </w:rPr>
        <w:lastRenderedPageBreak/>
        <w:t>合并财务报表的合并范围以控制为基础予以确定。控制是指本公司拥有对被投资方的权力，通过参与被投资方的相关活动而享有可变回报，并且有能力运用对被投资方的权力影响该回报金额。通常包括母公司拥有其半数以上的表决权的被投资单位和公司虽拥有其半数以下的表决权但通过与被投资单位其他投资者之间的协议，拥有被投资单位半数以上表决权；根据公司章程或协议，有权决定被投资单位的财务和经营决策；有权任免被投资单位的董事会的多数成员；在被投资单位董事会占多数表决权。</w:t>
      </w:r>
    </w:p>
    <w:p w:rsidR="004A3B7E" w:rsidRDefault="00452DEF">
      <w:pPr>
        <w:pStyle w:val="a3"/>
        <w:spacing w:before="0" w:beforeAutospacing="0" w:after="0" w:afterAutospacing="0" w:line="400" w:lineRule="atLeast"/>
        <w:ind w:firstLine="360"/>
        <w:jc w:val="both"/>
        <w:divId w:val="723139744"/>
      </w:pPr>
      <w:r>
        <w:rPr>
          <w:rFonts w:hint="eastAsia"/>
          <w:sz w:val="18"/>
          <w:szCs w:val="18"/>
        </w:rPr>
        <w:t>（2）合并财务报表编制的方法</w:t>
      </w:r>
    </w:p>
    <w:p w:rsidR="004A3B7E" w:rsidRDefault="00452DEF">
      <w:pPr>
        <w:pStyle w:val="a3"/>
        <w:spacing w:before="0" w:beforeAutospacing="0" w:after="0" w:afterAutospacing="0" w:line="400" w:lineRule="atLeast"/>
        <w:ind w:firstLine="360"/>
        <w:jc w:val="both"/>
        <w:divId w:val="723139744"/>
      </w:pPr>
      <w:r>
        <w:rPr>
          <w:rFonts w:hint="eastAsia"/>
          <w:sz w:val="18"/>
          <w:szCs w:val="18"/>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rsidR="004A3B7E" w:rsidRDefault="00452DEF">
      <w:pPr>
        <w:pStyle w:val="a3"/>
        <w:spacing w:before="0" w:beforeAutospacing="0" w:after="0" w:afterAutospacing="0" w:line="400" w:lineRule="atLeast"/>
        <w:ind w:firstLine="360"/>
        <w:jc w:val="both"/>
        <w:divId w:val="723139744"/>
      </w:pPr>
      <w:r>
        <w:rPr>
          <w:rFonts w:hint="eastAsia"/>
          <w:sz w:val="18"/>
          <w:szCs w:val="18"/>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rsidR="004A3B7E" w:rsidRDefault="00452DEF">
      <w:pPr>
        <w:pStyle w:val="a3"/>
        <w:spacing w:before="0" w:beforeAutospacing="0" w:after="0" w:afterAutospacing="0" w:line="400" w:lineRule="atLeast"/>
        <w:ind w:firstLine="360"/>
        <w:jc w:val="both"/>
        <w:divId w:val="723139744"/>
      </w:pPr>
      <w:r>
        <w:rPr>
          <w:rFonts w:hint="eastAsia"/>
          <w:sz w:val="18"/>
          <w:szCs w:val="18"/>
        </w:rPr>
        <w:t>公司内所有重大往来余额、交易及未实现利润在合并财务报表编制时予以抵销。</w:t>
      </w:r>
    </w:p>
    <w:p w:rsidR="004A3B7E" w:rsidRDefault="00452DEF">
      <w:pPr>
        <w:pStyle w:val="a3"/>
        <w:spacing w:before="0" w:beforeAutospacing="0" w:after="0" w:afterAutospacing="0" w:line="400" w:lineRule="atLeast"/>
        <w:ind w:firstLine="360"/>
        <w:jc w:val="both"/>
        <w:divId w:val="723139744"/>
      </w:pPr>
      <w:r>
        <w:rPr>
          <w:rFonts w:hint="eastAsia"/>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冲减少数股东权益。</w:t>
      </w:r>
    </w:p>
    <w:p w:rsidR="004A3B7E" w:rsidRDefault="00452DEF">
      <w:pPr>
        <w:pStyle w:val="a3"/>
        <w:spacing w:before="0" w:beforeAutospacing="0" w:after="0" w:afterAutospacing="0" w:line="400" w:lineRule="atLeast"/>
        <w:ind w:firstLine="360"/>
        <w:divId w:val="723139744"/>
      </w:pPr>
      <w:r>
        <w:rPr>
          <w:rFonts w:hint="eastAsia"/>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被购买方直接处置相关资产或负债相同的基础进行会计处理（即，除了在该原有子公司重新计量设定受益计划净负债或净资产导致的变动以外，其余一并转为当期投资收益）。其后，对该部分剩余股权按照《企业会计准则第2号——长期股权投资》或《企业会计准则第22号——金融工具确认和计量》等相关规定进行后续计量，详见</w:t>
      </w:r>
      <w:r>
        <w:rPr>
          <w:rFonts w:hint="eastAsia"/>
          <w:sz w:val="18"/>
          <w:szCs w:val="18"/>
          <w:shd w:val="clear" w:color="auto" w:fill="FFFFFF"/>
        </w:rPr>
        <w:t>本附注五、14“长期股权投资”或本附注五、11“金融工具”。</w:t>
      </w:r>
    </w:p>
    <w:p w:rsidR="004A3B7E" w:rsidRDefault="00452DEF">
      <w:pPr>
        <w:pStyle w:val="a3"/>
        <w:spacing w:before="0" w:beforeAutospacing="0" w:after="0" w:afterAutospacing="0" w:line="400" w:lineRule="atLeast"/>
        <w:ind w:firstLine="360"/>
        <w:divId w:val="723139744"/>
      </w:pPr>
      <w:r>
        <w:rPr>
          <w:rFonts w:hint="eastAsia"/>
          <w:sz w:val="18"/>
          <w:szCs w:val="18"/>
        </w:rPr>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不丧失控制权的情况下部分处置对子公司的长期股权投资”和“因处置部分股权投资或其他原因丧失了对原有子公司的控制权”适用的原则进行会计处理。处置对子公司股权投资直至丧失控制权的各项交易属于一揽子交易的，将各项交</w:t>
      </w:r>
      <w:r>
        <w:rPr>
          <w:rFonts w:hint="eastAsia"/>
          <w:sz w:val="18"/>
          <w:szCs w:val="18"/>
        </w:rPr>
        <w:lastRenderedPageBreak/>
        <w:t>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BD1BB9" w:rsidRDefault="00452DEF">
      <w:pPr>
        <w:pStyle w:val="3"/>
        <w:spacing w:line="280" w:lineRule="exact"/>
        <w:jc w:val="left"/>
        <w:rPr>
          <w:rFonts w:ascii="宋体" w:hAnsi="宋体" w:cs="宋体"/>
          <w:b/>
          <w:bCs/>
        </w:rPr>
      </w:pPr>
      <w:bookmarkStart w:id="128" w:name="_Toc988998"/>
      <w:r>
        <w:rPr>
          <w:rFonts w:ascii="宋体" w:hAnsi="宋体" w:cs="宋体"/>
          <w:b/>
          <w:bCs/>
        </w:rPr>
        <w:t>8、合营安排分类及共同经营会计处理方法</w:t>
      </w:r>
      <w:bookmarkEnd w:id="128"/>
    </w:p>
    <w:p w:rsidR="004A3B7E" w:rsidRDefault="00452DEF">
      <w:pPr>
        <w:pStyle w:val="a3"/>
        <w:spacing w:before="0" w:beforeAutospacing="0" w:after="0" w:afterAutospacing="0" w:line="400" w:lineRule="atLeast"/>
        <w:ind w:firstLine="360"/>
        <w:divId w:val="1807507581"/>
      </w:pPr>
      <w:r>
        <w:rPr>
          <w:rFonts w:hint="eastAsia"/>
          <w:sz w:val="18"/>
          <w:szCs w:val="18"/>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4A3B7E" w:rsidRDefault="00452DEF">
      <w:pPr>
        <w:pStyle w:val="a3"/>
        <w:spacing w:before="0" w:beforeAutospacing="0" w:after="0" w:afterAutospacing="0" w:line="400" w:lineRule="atLeast"/>
        <w:ind w:firstLine="360"/>
        <w:divId w:val="1807507581"/>
      </w:pPr>
      <w:r>
        <w:rPr>
          <w:rFonts w:hint="eastAsia"/>
          <w:sz w:val="18"/>
          <w:szCs w:val="18"/>
        </w:rPr>
        <w:t>本公司对合营企业的投资采用权益法核算，按照本</w:t>
      </w:r>
      <w:r>
        <w:rPr>
          <w:rFonts w:hint="eastAsia"/>
          <w:sz w:val="18"/>
          <w:szCs w:val="18"/>
          <w:shd w:val="clear" w:color="auto" w:fill="FFFFFF"/>
        </w:rPr>
        <w:t>附注五、14（2）②“权益法核算的长期股权投资”中</w:t>
      </w:r>
      <w:r>
        <w:rPr>
          <w:rFonts w:hint="eastAsia"/>
          <w:sz w:val="18"/>
          <w:szCs w:val="18"/>
        </w:rPr>
        <w:t>所述的会计政策处理。</w:t>
      </w:r>
    </w:p>
    <w:p w:rsidR="004A3B7E" w:rsidRDefault="00452DEF">
      <w:pPr>
        <w:pStyle w:val="a3"/>
        <w:spacing w:before="0" w:beforeAutospacing="0" w:after="0" w:afterAutospacing="0" w:line="400" w:lineRule="atLeast"/>
        <w:ind w:firstLine="360"/>
        <w:divId w:val="1807507581"/>
      </w:pPr>
      <w:r>
        <w:rPr>
          <w:rFonts w:hint="eastAsia"/>
          <w:sz w:val="18"/>
          <w:szCs w:val="18"/>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4A3B7E" w:rsidRDefault="00452DEF">
      <w:pPr>
        <w:pStyle w:val="a3"/>
        <w:spacing w:before="0" w:beforeAutospacing="0" w:after="0" w:afterAutospacing="0" w:line="400" w:lineRule="atLeast"/>
        <w:ind w:firstLine="360"/>
        <w:divId w:val="1807507581"/>
      </w:pPr>
      <w:r>
        <w:rPr>
          <w:rFonts w:hint="eastAsia"/>
          <w:sz w:val="18"/>
          <w:szCs w:val="18"/>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8号——资产减值》等规定的资产减值损失的，对于由本公司向共同经营投出或出售资产的情况，本公司全额确认该损失；对于本公司自共同经营购买资产的情况，本公司按承担的份额确认该损失。</w:t>
      </w:r>
    </w:p>
    <w:p w:rsidR="00BD1BB9" w:rsidRDefault="00452DEF">
      <w:pPr>
        <w:pStyle w:val="3"/>
        <w:spacing w:line="280" w:lineRule="exact"/>
        <w:jc w:val="left"/>
        <w:rPr>
          <w:rFonts w:ascii="宋体" w:hAnsi="宋体" w:cs="宋体"/>
          <w:b/>
          <w:bCs/>
        </w:rPr>
      </w:pPr>
      <w:bookmarkStart w:id="129" w:name="_Toc988999"/>
      <w:r>
        <w:rPr>
          <w:rFonts w:ascii="宋体" w:hAnsi="宋体" w:cs="宋体"/>
          <w:b/>
          <w:bCs/>
        </w:rPr>
        <w:t>9、现金及现金等价物的确定标准</w:t>
      </w:r>
      <w:bookmarkEnd w:id="129"/>
    </w:p>
    <w:p w:rsidR="004A3B7E" w:rsidRDefault="00452DEF">
      <w:pPr>
        <w:pStyle w:val="a3"/>
        <w:spacing w:before="0" w:beforeAutospacing="0" w:after="0" w:afterAutospacing="0" w:line="400" w:lineRule="atLeast"/>
        <w:ind w:firstLine="360"/>
        <w:jc w:val="both"/>
        <w:divId w:val="837577546"/>
      </w:pPr>
      <w:r>
        <w:rPr>
          <w:rFonts w:hint="eastAsia"/>
          <w:sz w:val="18"/>
          <w:szCs w:val="18"/>
        </w:rPr>
        <w:t>本公司现金及现金等价物包括库存现金、可以随时用于支付的存款以及本公司持有的期限短（一般为从购买日起三个月内到期）、流动性强、易于转换为已知金额现金、价值变动风险很小的投资。</w:t>
      </w:r>
    </w:p>
    <w:p w:rsidR="00BD1BB9" w:rsidRDefault="00452DEF">
      <w:pPr>
        <w:pStyle w:val="3"/>
        <w:spacing w:line="280" w:lineRule="exact"/>
        <w:jc w:val="left"/>
        <w:rPr>
          <w:rFonts w:ascii="宋体" w:hAnsi="宋体" w:cs="宋体"/>
          <w:b/>
          <w:bCs/>
        </w:rPr>
      </w:pPr>
      <w:bookmarkStart w:id="130" w:name="_Toc989000"/>
      <w:r>
        <w:rPr>
          <w:rFonts w:ascii="宋体" w:hAnsi="宋体" w:cs="宋体"/>
          <w:b/>
          <w:bCs/>
        </w:rPr>
        <w:t>10、外币业务和外币报表折算</w:t>
      </w:r>
      <w:bookmarkEnd w:id="130"/>
    </w:p>
    <w:p w:rsidR="004A3B7E" w:rsidRDefault="00452DEF">
      <w:pPr>
        <w:pStyle w:val="a3"/>
        <w:spacing w:before="0" w:beforeAutospacing="0" w:after="0" w:afterAutospacing="0" w:line="400" w:lineRule="atLeast"/>
        <w:ind w:firstLine="360"/>
        <w:jc w:val="both"/>
        <w:divId w:val="626474368"/>
      </w:pPr>
      <w:r>
        <w:rPr>
          <w:rFonts w:hint="eastAsia"/>
          <w:sz w:val="18"/>
          <w:szCs w:val="18"/>
        </w:rPr>
        <w:t>（1）外币交易的折算方法</w:t>
      </w:r>
    </w:p>
    <w:p w:rsidR="004A3B7E" w:rsidRDefault="00452DEF">
      <w:pPr>
        <w:pStyle w:val="a3"/>
        <w:spacing w:before="0" w:beforeAutospacing="0" w:after="0" w:afterAutospacing="0" w:line="400" w:lineRule="atLeast"/>
        <w:ind w:firstLine="360"/>
        <w:jc w:val="both"/>
        <w:divId w:val="626474368"/>
      </w:pPr>
      <w:r>
        <w:rPr>
          <w:rFonts w:hint="eastAsia"/>
          <w:sz w:val="18"/>
          <w:szCs w:val="18"/>
        </w:rPr>
        <w:t>本公司发生的外币交易在初始确认时，按交易日的即期汇率折算为记账本位币金额，但公司发生的外币兑换业务或涉及外币兑换的交易事项，按照实际采用的汇率折算为记账本位币金额。</w:t>
      </w:r>
    </w:p>
    <w:p w:rsidR="004A3B7E" w:rsidRDefault="00452DEF">
      <w:pPr>
        <w:pStyle w:val="a3"/>
        <w:spacing w:before="0" w:beforeAutospacing="0" w:after="0" w:afterAutospacing="0" w:line="400" w:lineRule="atLeast"/>
        <w:ind w:firstLine="360"/>
        <w:jc w:val="both"/>
        <w:divId w:val="626474368"/>
      </w:pPr>
      <w:r>
        <w:rPr>
          <w:rFonts w:hint="eastAsia"/>
          <w:sz w:val="18"/>
          <w:szCs w:val="18"/>
        </w:rPr>
        <w:t>（2）对于外币货币性项目和外币非货币性项目的折算方法</w:t>
      </w:r>
    </w:p>
    <w:p w:rsidR="004A3B7E" w:rsidRDefault="00452DEF">
      <w:pPr>
        <w:pStyle w:val="a3"/>
        <w:spacing w:before="0" w:beforeAutospacing="0" w:after="0" w:afterAutospacing="0" w:line="400" w:lineRule="atLeast"/>
        <w:ind w:firstLine="360"/>
        <w:jc w:val="both"/>
        <w:divId w:val="626474368"/>
      </w:pPr>
      <w:r>
        <w:rPr>
          <w:rFonts w:hint="eastAsia"/>
          <w:sz w:val="18"/>
          <w:szCs w:val="18"/>
        </w:rPr>
        <w:t>资产负债表日，对于外币货币性项目采用资产负债表日即期汇率折算，由此产生的汇兑差额，除：①属于与购建符合资本化条件的资产相关的外币专门借款产生的汇兑差额按照借款费用资本化的原则处理；②可供出售的外币货币性项目除摊余成本之外的其他账面余额变动产生的汇兑差额计入其他综合收益之外，均计入当期损益。</w:t>
      </w:r>
    </w:p>
    <w:p w:rsidR="004A3B7E" w:rsidRDefault="00452DEF">
      <w:pPr>
        <w:pStyle w:val="a3"/>
        <w:spacing w:before="0" w:beforeAutospacing="0" w:after="0" w:afterAutospacing="0" w:line="400" w:lineRule="atLeast"/>
        <w:ind w:firstLine="360"/>
        <w:jc w:val="both"/>
        <w:divId w:val="626474368"/>
      </w:pPr>
      <w:r>
        <w:rPr>
          <w:rFonts w:hint="eastAsia"/>
          <w:sz w:val="18"/>
          <w:szCs w:val="18"/>
        </w:rPr>
        <w:t>编制合并财务报表涉及境外经营的，如有实质上构成对境外经营净投资的外币货币性项目，因汇率变动而产生的汇兑差额，计入其他综合收益；处置境外经营时，转入处置当期损益。</w:t>
      </w:r>
    </w:p>
    <w:p w:rsidR="004A3B7E" w:rsidRDefault="00452DEF">
      <w:pPr>
        <w:pStyle w:val="a3"/>
        <w:spacing w:before="0" w:beforeAutospacing="0" w:after="0" w:afterAutospacing="0" w:line="400" w:lineRule="atLeast"/>
        <w:ind w:firstLine="360"/>
        <w:jc w:val="both"/>
        <w:divId w:val="626474368"/>
      </w:pPr>
      <w:r>
        <w:rPr>
          <w:rFonts w:hint="eastAsia"/>
          <w:sz w:val="18"/>
          <w:szCs w:val="18"/>
        </w:rPr>
        <w:lastRenderedPageBreak/>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rsidR="004A3B7E" w:rsidRDefault="00452DEF">
      <w:pPr>
        <w:pStyle w:val="a3"/>
        <w:spacing w:before="0" w:beforeAutospacing="0" w:after="0" w:afterAutospacing="0" w:line="400" w:lineRule="atLeast"/>
        <w:ind w:firstLine="360"/>
        <w:jc w:val="both"/>
        <w:divId w:val="626474368"/>
      </w:pPr>
      <w:r>
        <w:rPr>
          <w:rFonts w:hint="eastAsia"/>
          <w:sz w:val="18"/>
          <w:szCs w:val="18"/>
        </w:rPr>
        <w:t>（3）外币财务报表的折算方法</w:t>
      </w:r>
    </w:p>
    <w:p w:rsidR="004A3B7E" w:rsidRDefault="00452DEF">
      <w:pPr>
        <w:pStyle w:val="a3"/>
        <w:spacing w:before="0" w:beforeAutospacing="0" w:after="0" w:afterAutospacing="0" w:line="400" w:lineRule="atLeast"/>
        <w:ind w:firstLine="360"/>
        <w:jc w:val="both"/>
        <w:divId w:val="626474368"/>
      </w:pPr>
      <w:r>
        <w:rPr>
          <w:rFonts w:hint="eastAsia"/>
          <w:sz w:val="18"/>
          <w:szCs w:val="18"/>
        </w:rPr>
        <w:t>编制合并财务报表涉及境外经营的，如有实质上构成对境外经营净投资的外币货币性项目，因汇率变动而产生的汇兑差额，作为“外币报表折算差额”确认为其他综合收益；处置境外经营时，计入处置当期损益。</w:t>
      </w:r>
    </w:p>
    <w:p w:rsidR="004A3B7E" w:rsidRDefault="00452DEF">
      <w:pPr>
        <w:pStyle w:val="a3"/>
        <w:spacing w:before="0" w:beforeAutospacing="0" w:after="0" w:afterAutospacing="0" w:line="400" w:lineRule="atLeast"/>
        <w:ind w:firstLine="360"/>
        <w:jc w:val="both"/>
        <w:divId w:val="626474368"/>
      </w:pPr>
      <w:r>
        <w:rPr>
          <w:rFonts w:hint="eastAsia"/>
          <w:sz w:val="18"/>
          <w:szCs w:val="18"/>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折算。上年年末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4A3B7E" w:rsidRDefault="00452DEF">
      <w:pPr>
        <w:pStyle w:val="a3"/>
        <w:spacing w:before="0" w:beforeAutospacing="0" w:after="0" w:afterAutospacing="0" w:line="400" w:lineRule="atLeast"/>
        <w:ind w:firstLine="360"/>
        <w:jc w:val="both"/>
        <w:divId w:val="626474368"/>
      </w:pPr>
      <w:r>
        <w:rPr>
          <w:rFonts w:hint="eastAsia"/>
          <w:sz w:val="18"/>
          <w:szCs w:val="18"/>
        </w:rPr>
        <w:t>外币现金流量，采用现金流量发生日的即期汇率折算。汇率变动对现金的影响额作为调节项目，在现金流量表中单独列报。</w:t>
      </w:r>
    </w:p>
    <w:p w:rsidR="004A3B7E" w:rsidRDefault="00452DEF">
      <w:pPr>
        <w:pStyle w:val="a3"/>
        <w:spacing w:before="0" w:beforeAutospacing="0" w:after="0" w:afterAutospacing="0" w:line="400" w:lineRule="atLeast"/>
        <w:ind w:firstLine="360"/>
        <w:jc w:val="both"/>
        <w:divId w:val="626474368"/>
      </w:pPr>
      <w:r>
        <w:rPr>
          <w:rFonts w:hint="eastAsia"/>
          <w:sz w:val="18"/>
          <w:szCs w:val="18"/>
        </w:rPr>
        <w:t>上年年末数和上年实际数按照上年财务报表折算后的数额列示。</w:t>
      </w:r>
    </w:p>
    <w:p w:rsidR="004A3B7E" w:rsidRDefault="00452DEF">
      <w:pPr>
        <w:pStyle w:val="a3"/>
        <w:spacing w:before="0" w:beforeAutospacing="0" w:after="0" w:afterAutospacing="0" w:line="400" w:lineRule="atLeast"/>
        <w:ind w:firstLine="360"/>
        <w:jc w:val="both"/>
        <w:divId w:val="626474368"/>
      </w:pPr>
      <w:r>
        <w:rPr>
          <w:rFonts w:hint="eastAsia"/>
          <w:sz w:val="18"/>
          <w:szCs w:val="18"/>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4A3B7E" w:rsidRDefault="00452DEF">
      <w:pPr>
        <w:pStyle w:val="a3"/>
        <w:spacing w:before="0" w:beforeAutospacing="0" w:after="0" w:afterAutospacing="0" w:line="400" w:lineRule="atLeast"/>
        <w:ind w:firstLine="360"/>
        <w:jc w:val="both"/>
        <w:divId w:val="626474368"/>
      </w:pPr>
      <w:r>
        <w:rPr>
          <w:rFonts w:hint="eastAsia"/>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BD1BB9" w:rsidRDefault="00452DEF">
      <w:pPr>
        <w:pStyle w:val="3"/>
        <w:spacing w:line="280" w:lineRule="exact"/>
        <w:jc w:val="left"/>
        <w:rPr>
          <w:rFonts w:ascii="宋体" w:hAnsi="宋体" w:cs="宋体"/>
          <w:b/>
          <w:bCs/>
        </w:rPr>
      </w:pPr>
      <w:bookmarkStart w:id="131" w:name="_Toc989001"/>
      <w:r>
        <w:rPr>
          <w:rFonts w:ascii="宋体" w:hAnsi="宋体" w:cs="宋体"/>
          <w:b/>
          <w:bCs/>
        </w:rPr>
        <w:t>11、金融工具</w:t>
      </w:r>
      <w:bookmarkEnd w:id="131"/>
    </w:p>
    <w:p w:rsidR="004A3B7E" w:rsidRDefault="00452DEF">
      <w:pPr>
        <w:pStyle w:val="a3"/>
        <w:spacing w:before="0" w:beforeAutospacing="0" w:after="0" w:afterAutospacing="0" w:line="400" w:lineRule="atLeast"/>
        <w:ind w:firstLine="360"/>
        <w:divId w:val="1903103467"/>
      </w:pPr>
      <w:r>
        <w:rPr>
          <w:rFonts w:hint="eastAsia"/>
          <w:sz w:val="18"/>
          <w:szCs w:val="18"/>
        </w:rPr>
        <w:t>在本公司成为金融工具合同的一方时确认一项金融资产或金融负债。</w:t>
      </w:r>
    </w:p>
    <w:p w:rsidR="004A3B7E" w:rsidRDefault="00452DEF">
      <w:pPr>
        <w:pStyle w:val="a3"/>
        <w:spacing w:before="0" w:beforeAutospacing="0" w:after="0" w:afterAutospacing="0" w:line="400" w:lineRule="atLeast"/>
        <w:ind w:firstLine="360"/>
        <w:divId w:val="1903103467"/>
      </w:pPr>
      <w:r>
        <w:rPr>
          <w:rFonts w:hint="eastAsia"/>
          <w:sz w:val="18"/>
          <w:szCs w:val="18"/>
        </w:rPr>
        <w:t>（1）金融资产的分类、确认和计量</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①以摊余成本计量的金融资产</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本公司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w:t>
      </w:r>
      <w:r>
        <w:rPr>
          <w:rFonts w:hint="eastAsia"/>
          <w:sz w:val="18"/>
          <w:szCs w:val="18"/>
        </w:rPr>
        <w:lastRenderedPageBreak/>
        <w:t>公司对于此类金融资产，采用实际利率法，按照摊余成本进行后续计量，其摊销或减值产生的利得或损失，计入当期损益。</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②以公允价值计量且其变动计入其他综合收益的金融资产</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③以公允价值计量且其变动计入当期损益的金融资产</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（2）金融负债的分类、确认和计量</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①以公允价值计量且其变动计入当期损益的金融负债</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以公允价值计量且其变动计入当期损益的金融负债，包括交易性金融负债（含属于金融负债的衍生工具）和初始确认时指定为以公允价值计量且其变动计入当期损益的金融负债。</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交易性金融负债（含属于金融负债的衍生工具），按照公允价值进行后续计量，除与套期会计有关外，公允价值变动计入当期损益。</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②其他金融负债</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rsidR="004A3B7E" w:rsidRDefault="00452DEF">
      <w:pPr>
        <w:pStyle w:val="a3"/>
        <w:spacing w:before="0" w:beforeAutospacing="0" w:after="0" w:afterAutospacing="0" w:line="400" w:lineRule="atLeast"/>
        <w:ind w:firstLine="360"/>
        <w:divId w:val="1903103467"/>
      </w:pPr>
      <w:r>
        <w:rPr>
          <w:rFonts w:hint="eastAsia"/>
          <w:sz w:val="18"/>
          <w:szCs w:val="18"/>
        </w:rPr>
        <w:t>（3）金融资产转移的确认依据和计量方法</w:t>
      </w:r>
    </w:p>
    <w:p w:rsidR="004A3B7E" w:rsidRDefault="00452DEF">
      <w:pPr>
        <w:pStyle w:val="a3"/>
        <w:spacing w:before="0" w:beforeAutospacing="0" w:after="0" w:afterAutospacing="0" w:line="400" w:lineRule="atLeast"/>
        <w:ind w:firstLine="360"/>
        <w:divId w:val="1903103467"/>
      </w:pPr>
      <w:r>
        <w:rPr>
          <w:rFonts w:hint="eastAsia"/>
          <w:sz w:val="18"/>
          <w:szCs w:val="18"/>
        </w:rPr>
        <w:lastRenderedPageBreak/>
        <w:t>满足下列条件之一的金融资产，予以终止确认：① 收取该金融资产现金流量的合同权利终止；② 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rsidR="004A3B7E" w:rsidRDefault="00452DEF">
      <w:pPr>
        <w:pStyle w:val="a3"/>
        <w:spacing w:before="0" w:beforeAutospacing="0" w:after="0" w:afterAutospacing="0" w:line="400" w:lineRule="atLeast"/>
        <w:ind w:firstLine="360"/>
        <w:divId w:val="1903103467"/>
      </w:pPr>
      <w:r>
        <w:rPr>
          <w:rFonts w:hint="eastAsia"/>
          <w:sz w:val="18"/>
          <w:szCs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4A3B7E" w:rsidRDefault="00452DEF">
      <w:pPr>
        <w:pStyle w:val="a3"/>
        <w:spacing w:before="0" w:beforeAutospacing="0" w:after="0" w:afterAutospacing="0" w:line="400" w:lineRule="atLeast"/>
        <w:ind w:firstLine="360"/>
        <w:divId w:val="1903103467"/>
      </w:pPr>
      <w:r>
        <w:rPr>
          <w:rFonts w:hint="eastAsia"/>
          <w:sz w:val="18"/>
          <w:szCs w:val="18"/>
        </w:rPr>
        <w:t>金融资产整体转移满足终止确认条件的，将所转移金融资产的账面价值及因转移而收到的对价与原计入其他综合收益的公允价值变动累计额之和的差额计入当期损益。</w:t>
      </w:r>
    </w:p>
    <w:p w:rsidR="004A3B7E" w:rsidRDefault="00452DEF">
      <w:pPr>
        <w:pStyle w:val="a3"/>
        <w:spacing w:before="0" w:beforeAutospacing="0" w:after="0" w:afterAutospacing="0" w:line="400" w:lineRule="atLeast"/>
        <w:ind w:firstLine="360"/>
        <w:divId w:val="1903103467"/>
      </w:pPr>
      <w:r>
        <w:rPr>
          <w:rFonts w:hint="eastAsia"/>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4A3B7E" w:rsidRDefault="00452DEF">
      <w:pPr>
        <w:pStyle w:val="a3"/>
        <w:spacing w:before="0" w:beforeAutospacing="0" w:after="0" w:afterAutospacing="0" w:line="400" w:lineRule="atLeast"/>
        <w:ind w:firstLine="360"/>
        <w:divId w:val="1903103467"/>
      </w:pPr>
      <w:r>
        <w:rPr>
          <w:rFonts w:hint="eastAsia"/>
          <w:sz w:val="18"/>
          <w:szCs w:val="18"/>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4A3B7E" w:rsidRDefault="00452DEF">
      <w:pPr>
        <w:pStyle w:val="a3"/>
        <w:spacing w:before="0" w:beforeAutospacing="0" w:after="0" w:afterAutospacing="0" w:line="400" w:lineRule="atLeast"/>
        <w:ind w:firstLine="360"/>
        <w:divId w:val="1903103467"/>
      </w:pPr>
      <w:r>
        <w:rPr>
          <w:rFonts w:hint="eastAsia"/>
          <w:sz w:val="18"/>
          <w:szCs w:val="18"/>
        </w:rPr>
        <w:t>（4）金融负债的终止确认</w:t>
      </w:r>
    </w:p>
    <w:p w:rsidR="004A3B7E" w:rsidRDefault="00452DEF">
      <w:pPr>
        <w:pStyle w:val="a3"/>
        <w:spacing w:before="0" w:beforeAutospacing="0" w:after="0" w:afterAutospacing="0" w:line="400" w:lineRule="atLeast"/>
        <w:ind w:firstLine="360"/>
        <w:divId w:val="1903103467"/>
      </w:pPr>
      <w:r>
        <w:rPr>
          <w:rFonts w:hint="eastAsia"/>
          <w:sz w:val="18"/>
          <w:szCs w:val="18"/>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rsidR="004A3B7E" w:rsidRDefault="00452DEF">
      <w:pPr>
        <w:pStyle w:val="a3"/>
        <w:spacing w:before="0" w:beforeAutospacing="0" w:after="0" w:afterAutospacing="0" w:line="400" w:lineRule="atLeast"/>
        <w:ind w:firstLine="360"/>
        <w:divId w:val="1903103467"/>
      </w:pPr>
      <w:r>
        <w:rPr>
          <w:rFonts w:hint="eastAsia"/>
          <w:sz w:val="18"/>
          <w:szCs w:val="18"/>
        </w:rPr>
        <w:t>金融负债（或其一部分）终止确认的，本公司将其账面价值与支付的对价（包括转出的非现金资产或承担的负债）之间的差额，计入当期损益。</w:t>
      </w:r>
    </w:p>
    <w:p w:rsidR="004A3B7E" w:rsidRDefault="00452DEF">
      <w:pPr>
        <w:pStyle w:val="a3"/>
        <w:spacing w:before="0" w:beforeAutospacing="0" w:after="0" w:afterAutospacing="0" w:line="400" w:lineRule="atLeast"/>
        <w:ind w:firstLine="360"/>
        <w:divId w:val="1903103467"/>
      </w:pPr>
      <w:r>
        <w:rPr>
          <w:rFonts w:hint="eastAsia"/>
          <w:sz w:val="18"/>
          <w:szCs w:val="18"/>
        </w:rPr>
        <w:t>（5）金融资产和金融负债的抵销</w:t>
      </w:r>
    </w:p>
    <w:p w:rsidR="004A3B7E" w:rsidRDefault="00452DEF">
      <w:pPr>
        <w:pStyle w:val="a3"/>
        <w:spacing w:before="0" w:beforeAutospacing="0" w:after="0" w:afterAutospacing="0" w:line="400" w:lineRule="atLeast"/>
        <w:ind w:firstLine="360"/>
        <w:divId w:val="1903103467"/>
      </w:pPr>
      <w:r>
        <w:rPr>
          <w:rFonts w:hint="eastAsia"/>
          <w:sz w:val="18"/>
          <w:szCs w:val="18"/>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（6）金融资产和金融负债的公允价值确定方法</w:t>
      </w:r>
    </w:p>
    <w:p w:rsidR="004A3B7E" w:rsidRDefault="00452DEF">
      <w:pPr>
        <w:pStyle w:val="a3"/>
        <w:spacing w:before="0" w:beforeAutospacing="0" w:after="0" w:afterAutospacing="0" w:line="400" w:lineRule="atLeast"/>
        <w:ind w:firstLine="360"/>
        <w:jc w:val="both"/>
        <w:divId w:val="1903103467"/>
      </w:pPr>
      <w:r>
        <w:rPr>
          <w:rFonts w:hint="eastAsia"/>
          <w:sz w:val="18"/>
          <w:szCs w:val="18"/>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w:t>
      </w:r>
      <w:r>
        <w:rPr>
          <w:rFonts w:hint="eastAsia"/>
          <w:sz w:val="18"/>
          <w:szCs w:val="18"/>
        </w:rPr>
        <w:lastRenderedPageBreak/>
        <w:t>中所考虑的资产或负债特征相一致的输入值，并尽可能优先使用相关可观察输入值。在相关可观察输入值无法取得或取得不切实可行的情况下，使用不可输入值。</w:t>
      </w:r>
    </w:p>
    <w:p w:rsidR="00BD1BB9" w:rsidRDefault="00452DEF">
      <w:pPr>
        <w:pStyle w:val="3"/>
        <w:spacing w:line="280" w:lineRule="exact"/>
        <w:jc w:val="left"/>
        <w:rPr>
          <w:rFonts w:ascii="宋体" w:hAnsi="宋体" w:cs="宋体"/>
          <w:b/>
          <w:bCs/>
        </w:rPr>
      </w:pPr>
      <w:bookmarkStart w:id="132" w:name="_Toc989002"/>
      <w:r>
        <w:rPr>
          <w:rFonts w:ascii="宋体" w:hAnsi="宋体" w:cs="宋体"/>
          <w:b/>
          <w:bCs/>
        </w:rPr>
        <w:t>12、金融资产减值</w:t>
      </w:r>
      <w:bookmarkEnd w:id="132"/>
    </w:p>
    <w:p w:rsidR="004A3B7E" w:rsidRDefault="00452DEF">
      <w:pPr>
        <w:pStyle w:val="a3"/>
        <w:spacing w:before="0" w:beforeAutospacing="0" w:after="0" w:afterAutospacing="0" w:line="400" w:lineRule="atLeast"/>
        <w:ind w:firstLine="360"/>
        <w:jc w:val="both"/>
        <w:divId w:val="1074467919"/>
      </w:pPr>
      <w:r>
        <w:rPr>
          <w:rFonts w:hint="eastAsia"/>
          <w:sz w:val="18"/>
          <w:szCs w:val="18"/>
        </w:rPr>
        <w:t>本公司需确认减值损失的金融资产系以摊余成本计量的金融资产、以公允价值计量且其变动计入其他综合收益的债务工具投资，主要包括应收票据、应收账款、合同资产、其他应收款、债权投资、其他债权投资、长期应收款等。此外，对部分财务担保合同，也按照本部分所述会计政策计提减值准备和确认信用减值损失。</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（1）减值准备的确认方法</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本公司以预期信用损失为基础，对上述各项目按照其适用的预期信用损失计量方法（一般方法或简化方法）计提减值准备并确认信用减值损失。</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信用损失，是指本公司按照原实际利率折现的、根据合同应收的所有合同现金流量与预期收取的所有现金流量之间的差额，即全部现金短缺的现值。其中，对于购买或源生的已发生信用减值的金融资产，本公司按照该金融资产经信用调整的实际利率折现。</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预期信用损失计量的一般方法是指，本公司在每个资产负债表日评估金融资产的信用风险自初始确认后是否已经显著增加，如果信用风险自初始确认后已显著增加，本公司按照相当于整个存续期内预期信用损失的金额计量损失准备；如果信用风险自初始确认后未显著增加，本公司按照相当于未来12个月内预期信用损失的金额计量损失准备。本公司在评估预期信用损失时，考虑所有合理且有依据的信息，包括前瞻性信息。</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对于在资产负债表日具有较低信用风险的金融工具，本公司假设其信用风险自初始确认后并未显著增加，选择按照未来 12 个月内的预期信用损失计量损失准备，依据其信用风险自初始确认后是否已显著增加，而采用未来12</w:t>
      </w:r>
      <w:r w:rsidR="005F4C51">
        <w:rPr>
          <w:rFonts w:hint="eastAsia"/>
          <w:sz w:val="18"/>
          <w:szCs w:val="18"/>
        </w:rPr>
        <w:t>个</w:t>
      </w:r>
      <w:r>
        <w:rPr>
          <w:rFonts w:hint="eastAsia"/>
          <w:sz w:val="18"/>
          <w:szCs w:val="18"/>
        </w:rPr>
        <w:t>月内或者整个存续期内预期信用损失金额为基础计量损失准备。</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（2）信用风险自初始确认后是否显著增加的判断标准</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如果某项金融资产在资产负债表日确定的预计存续期内的违约概率显著高于在初始确认时确定的预计存续期内的违约概率，则表明该项金融资产的信用风险显著增加。</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（3）以组合为基础评估预期信用风险的组合方法</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本公司对信用风险显著不同的金融资产单项评价信用风险，如：应收关联方款项；与对方存在争议或涉及诉讼、仲裁的应收款项；已有明显迹象表明债务人很可能无法履行还款义务的应收款项等。</w:t>
      </w:r>
    </w:p>
    <w:p w:rsidR="004A3B7E" w:rsidRDefault="00452DEF">
      <w:pPr>
        <w:pStyle w:val="a3"/>
        <w:spacing w:before="0" w:beforeAutospacing="0" w:after="0" w:afterAutospacing="0" w:line="400" w:lineRule="atLeast"/>
        <w:ind w:firstLine="360"/>
        <w:divId w:val="1074467919"/>
      </w:pPr>
      <w:r>
        <w:rPr>
          <w:rFonts w:hint="eastAsia"/>
          <w:sz w:val="18"/>
          <w:szCs w:val="18"/>
        </w:rPr>
        <w:t>除了单项评估信用风险的金融资产外，本公司基于共同风险特征将金融资产划分为不同的组别，本公司采用的共同信用风险特征包括：金融工具类型、信用风险评级、账龄组合、逾期账龄组合、合同结算周期等，在组合的基础上评估信用风险。</w:t>
      </w:r>
    </w:p>
    <w:p w:rsidR="004A3B7E" w:rsidRDefault="00452DEF">
      <w:pPr>
        <w:pStyle w:val="a3"/>
        <w:spacing w:before="0" w:beforeAutospacing="0" w:after="0" w:afterAutospacing="0" w:line="400" w:lineRule="atLeast"/>
        <w:ind w:firstLine="360"/>
        <w:divId w:val="1074467919"/>
      </w:pPr>
      <w:r>
        <w:rPr>
          <w:rFonts w:hint="eastAsia"/>
          <w:sz w:val="18"/>
          <w:szCs w:val="18"/>
        </w:rPr>
        <w:t>（4）金融资产减值的会计处理方法</w:t>
      </w:r>
    </w:p>
    <w:p w:rsidR="004A3B7E" w:rsidRDefault="00452DEF">
      <w:pPr>
        <w:pStyle w:val="a3"/>
        <w:spacing w:before="0" w:beforeAutospacing="0" w:after="0" w:afterAutospacing="0" w:line="400" w:lineRule="atLeast"/>
        <w:ind w:firstLine="360"/>
        <w:divId w:val="1074467919"/>
      </w:pPr>
      <w:r>
        <w:rPr>
          <w:rFonts w:hint="eastAsia"/>
          <w:sz w:val="18"/>
          <w:szCs w:val="18"/>
        </w:rPr>
        <w:t>期末，本公司计算各类金融资产的预计信用损失，如果该预计信用损失大于其当前减值准备的账面金额，将其差额确认为减值损失；如果小于当前减值准备的账面金额，则将差额确认为减值利得。</w:t>
      </w:r>
    </w:p>
    <w:p w:rsidR="004A3B7E" w:rsidRDefault="00452DEF">
      <w:pPr>
        <w:pStyle w:val="a3"/>
        <w:spacing w:before="0" w:beforeAutospacing="0" w:after="0" w:afterAutospacing="0" w:line="400" w:lineRule="atLeast"/>
        <w:ind w:firstLine="360"/>
        <w:divId w:val="1074467919"/>
      </w:pPr>
      <w:r>
        <w:rPr>
          <w:rFonts w:hint="eastAsia"/>
          <w:sz w:val="18"/>
          <w:szCs w:val="18"/>
        </w:rPr>
        <w:t>（5）各类金融资产信用损失的确定方法</w:t>
      </w:r>
    </w:p>
    <w:p w:rsidR="004A3B7E" w:rsidRDefault="00452DEF">
      <w:pPr>
        <w:pStyle w:val="a3"/>
        <w:spacing w:before="0" w:beforeAutospacing="0" w:after="0" w:afterAutospacing="0" w:line="400" w:lineRule="atLeast"/>
        <w:ind w:firstLine="360"/>
        <w:divId w:val="1074467919"/>
      </w:pPr>
      <w:r>
        <w:rPr>
          <w:rFonts w:hint="eastAsia"/>
          <w:sz w:val="18"/>
          <w:szCs w:val="18"/>
        </w:rPr>
        <w:t>①应收票据</w:t>
      </w:r>
    </w:p>
    <w:p w:rsidR="004A3B7E" w:rsidRDefault="00452DEF">
      <w:pPr>
        <w:pStyle w:val="a3"/>
        <w:spacing w:before="0" w:beforeAutospacing="0" w:after="0" w:afterAutospacing="0" w:line="400" w:lineRule="atLeast"/>
        <w:ind w:firstLine="360"/>
        <w:jc w:val="both"/>
        <w:divId w:val="1074467919"/>
      </w:pPr>
      <w:r>
        <w:rPr>
          <w:rFonts w:hint="eastAsia"/>
          <w:sz w:val="18"/>
          <w:szCs w:val="18"/>
        </w:rPr>
        <w:lastRenderedPageBreak/>
        <w:t>本公司对于应收票据按照相当于整个存续期内的预期信用损失金额计量损失准备。基于应收票据的信用风险特征，将其划分为不同组合：</w:t>
      </w:r>
    </w:p>
    <w:tbl>
      <w:tblPr>
        <w:tblW w:w="7956" w:type="dxa"/>
        <w:tblCellMar>
          <w:left w:w="0" w:type="dxa"/>
          <w:right w:w="0" w:type="dxa"/>
        </w:tblCellMar>
        <w:tblLook w:val="04A0" w:firstRow="1" w:lastRow="0" w:firstColumn="1" w:lastColumn="0" w:noHBand="0" w:noVBand="1"/>
      </w:tblPr>
      <w:tblGrid>
        <w:gridCol w:w="4013"/>
        <w:gridCol w:w="5650"/>
      </w:tblGrid>
      <w:tr w:rsidR="004A3B7E">
        <w:trPr>
          <w:divId w:val="1074467919"/>
          <w:trHeight w:val="378"/>
          <w:tblHeader/>
        </w:trPr>
        <w:tc>
          <w:tcPr>
            <w:tcW w:w="40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pPr>
            <w:r>
              <w:rPr>
                <w:rFonts w:hint="eastAsia"/>
                <w:sz w:val="18"/>
                <w:szCs w:val="18"/>
              </w:rPr>
              <w:t>项  目</w:t>
            </w:r>
          </w:p>
        </w:tc>
        <w:tc>
          <w:tcPr>
            <w:tcW w:w="5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ind w:firstLine="360"/>
              <w:jc w:val="center"/>
            </w:pPr>
            <w:r>
              <w:rPr>
                <w:rFonts w:hint="eastAsia"/>
                <w:sz w:val="18"/>
                <w:szCs w:val="18"/>
              </w:rPr>
              <w:t>确定组合的依据</w:t>
            </w:r>
          </w:p>
        </w:tc>
      </w:tr>
      <w:tr w:rsidR="004A3B7E">
        <w:trPr>
          <w:divId w:val="1074467919"/>
          <w:trHeight w:val="300"/>
        </w:trPr>
        <w:tc>
          <w:tcPr>
            <w:tcW w:w="40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pPr>
            <w:r>
              <w:rPr>
                <w:rFonts w:hint="eastAsia"/>
                <w:sz w:val="18"/>
                <w:szCs w:val="18"/>
              </w:rPr>
              <w:t>银行承兑汇票</w:t>
            </w:r>
          </w:p>
        </w:tc>
        <w:tc>
          <w:tcPr>
            <w:tcW w:w="5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pPr>
            <w:r>
              <w:rPr>
                <w:rFonts w:hint="eastAsia"/>
                <w:sz w:val="18"/>
                <w:szCs w:val="18"/>
              </w:rPr>
              <w:t>按照承兑人划分</w:t>
            </w:r>
          </w:p>
        </w:tc>
      </w:tr>
      <w:tr w:rsidR="004A3B7E">
        <w:trPr>
          <w:divId w:val="1074467919"/>
          <w:trHeight w:val="300"/>
        </w:trPr>
        <w:tc>
          <w:tcPr>
            <w:tcW w:w="40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pPr>
            <w:r>
              <w:rPr>
                <w:rFonts w:hint="eastAsia"/>
                <w:sz w:val="18"/>
                <w:szCs w:val="18"/>
              </w:rPr>
              <w:t>商业承兑汇票</w:t>
            </w:r>
          </w:p>
        </w:tc>
        <w:tc>
          <w:tcPr>
            <w:tcW w:w="5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pPr>
            <w:r>
              <w:rPr>
                <w:rFonts w:hint="eastAsia"/>
                <w:sz w:val="18"/>
                <w:szCs w:val="18"/>
              </w:rPr>
              <w:t>按照承兑人划分</w:t>
            </w:r>
          </w:p>
        </w:tc>
      </w:tr>
    </w:tbl>
    <w:p w:rsidR="004A3B7E" w:rsidRDefault="00452DEF">
      <w:pPr>
        <w:pStyle w:val="a3"/>
        <w:spacing w:before="0" w:beforeAutospacing="0" w:after="0" w:afterAutospacing="0" w:line="400" w:lineRule="atLeast"/>
        <w:ind w:firstLine="360"/>
        <w:jc w:val="both"/>
        <w:divId w:val="1074467919"/>
      </w:pPr>
      <w:r>
        <w:rPr>
          <w:rFonts w:hint="eastAsia"/>
          <w:sz w:val="18"/>
          <w:szCs w:val="18"/>
        </w:rPr>
        <w:t>②应收账款及合同资产</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对于不含重大融资成分的应收款项和合同资产，本公司按照相当于整个存续期内的预期信用损失金额计量损失准备。</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对于包含重大融资成分的应收款项、合同资产，本公司选择始终按照相当于存续期内预期信用损失的金额计量损失准备。</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除了单项评估信用风险的应收账款外，基于其信用风险特征，将其划分为不同组合：</w:t>
      </w:r>
    </w:p>
    <w:tbl>
      <w:tblPr>
        <w:tblW w:w="9663" w:type="dxa"/>
        <w:tblCellMar>
          <w:left w:w="0" w:type="dxa"/>
          <w:right w:w="0" w:type="dxa"/>
        </w:tblCellMar>
        <w:tblLook w:val="04A0" w:firstRow="1" w:lastRow="0" w:firstColumn="1" w:lastColumn="0" w:noHBand="0" w:noVBand="1"/>
      </w:tblPr>
      <w:tblGrid>
        <w:gridCol w:w="2468"/>
        <w:gridCol w:w="7195"/>
      </w:tblGrid>
      <w:tr w:rsidR="004A3B7E">
        <w:trPr>
          <w:divId w:val="1074467919"/>
          <w:trHeight w:val="378"/>
          <w:tblHeader/>
        </w:trPr>
        <w:tc>
          <w:tcPr>
            <w:tcW w:w="2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pPr>
            <w:r>
              <w:rPr>
                <w:rFonts w:hint="eastAsia"/>
                <w:sz w:val="18"/>
                <w:szCs w:val="18"/>
              </w:rPr>
              <w:t>项  目</w:t>
            </w:r>
          </w:p>
        </w:tc>
        <w:tc>
          <w:tcPr>
            <w:tcW w:w="7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ind w:firstLine="360"/>
              <w:jc w:val="center"/>
            </w:pPr>
            <w:r>
              <w:rPr>
                <w:rFonts w:hint="eastAsia"/>
                <w:sz w:val="18"/>
                <w:szCs w:val="18"/>
              </w:rPr>
              <w:t>确定组合的依据</w:t>
            </w:r>
          </w:p>
        </w:tc>
      </w:tr>
      <w:tr w:rsidR="004A3B7E">
        <w:trPr>
          <w:divId w:val="1074467919"/>
          <w:trHeight w:val="300"/>
        </w:trPr>
        <w:tc>
          <w:tcPr>
            <w:tcW w:w="24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pPr>
            <w:r>
              <w:rPr>
                <w:rFonts w:hint="eastAsia"/>
                <w:sz w:val="18"/>
                <w:szCs w:val="18"/>
              </w:rPr>
              <w:t>账龄组合</w:t>
            </w:r>
          </w:p>
        </w:tc>
        <w:tc>
          <w:tcPr>
            <w:tcW w:w="71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pPr>
            <w:r>
              <w:rPr>
                <w:rFonts w:hint="eastAsia"/>
                <w:sz w:val="18"/>
                <w:szCs w:val="18"/>
              </w:rPr>
              <w:t>参考历史信用损失经验，结合当前状况以及对未来经济账龄组合</w:t>
            </w:r>
          </w:p>
          <w:p w:rsidR="004A3B7E" w:rsidRDefault="00452DEF">
            <w:pPr>
              <w:pStyle w:val="a3"/>
              <w:spacing w:before="0" w:beforeAutospacing="0" w:after="0" w:afterAutospacing="0" w:line="400" w:lineRule="atLeast"/>
            </w:pPr>
            <w:r>
              <w:rPr>
                <w:rFonts w:hint="eastAsia"/>
                <w:sz w:val="18"/>
                <w:szCs w:val="18"/>
              </w:rPr>
              <w:t>本组合以应收款项的账龄作为信用风险特征状况的预测，编制应收款项账龄与预期信用损失率对照表，计算预期信用损失。</w:t>
            </w:r>
          </w:p>
        </w:tc>
      </w:tr>
      <w:tr w:rsidR="004A3B7E">
        <w:trPr>
          <w:divId w:val="1074467919"/>
          <w:trHeight w:val="300"/>
        </w:trPr>
        <w:tc>
          <w:tcPr>
            <w:tcW w:w="24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pPr>
            <w:r>
              <w:rPr>
                <w:rFonts w:hint="eastAsia"/>
                <w:sz w:val="18"/>
                <w:szCs w:val="18"/>
              </w:rPr>
              <w:t>合并范围内关联方组合</w:t>
            </w:r>
          </w:p>
        </w:tc>
        <w:tc>
          <w:tcPr>
            <w:tcW w:w="71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pPr>
            <w:r>
              <w:rPr>
                <w:rFonts w:hint="eastAsia"/>
                <w:sz w:val="18"/>
                <w:szCs w:val="18"/>
              </w:rPr>
              <w:t>参考历史信用损失经验，结合当前状况及未来经济状况的预测，通过违约风险敞口和未来12个月或整个存续期内关联方公司款项预期信用损失率，计算预期信用损失。此类款项发生坏账损失的可能性极小。</w:t>
            </w:r>
          </w:p>
        </w:tc>
      </w:tr>
    </w:tbl>
    <w:p w:rsidR="004A3B7E" w:rsidRDefault="00452DEF">
      <w:pPr>
        <w:pStyle w:val="a3"/>
        <w:spacing w:before="0" w:beforeAutospacing="0" w:after="0" w:afterAutospacing="0" w:line="400" w:lineRule="atLeast"/>
        <w:ind w:firstLine="360"/>
        <w:divId w:val="1074467919"/>
      </w:pPr>
      <w:r>
        <w:rPr>
          <w:rFonts w:hint="eastAsia"/>
          <w:sz w:val="18"/>
          <w:szCs w:val="18"/>
        </w:rPr>
        <w:t>a、本公司应收款项账龄从发生日开始计算。</w:t>
      </w:r>
    </w:p>
    <w:p w:rsidR="004A3B7E" w:rsidRDefault="00452DEF">
      <w:pPr>
        <w:pStyle w:val="a3"/>
        <w:spacing w:before="0" w:beforeAutospacing="0" w:after="0" w:afterAutospacing="0" w:line="400" w:lineRule="atLeast"/>
        <w:ind w:left="482"/>
        <w:jc w:val="both"/>
        <w:divId w:val="1074467919"/>
      </w:pPr>
      <w:r>
        <w:rPr>
          <w:rFonts w:hint="eastAsia"/>
          <w:sz w:val="18"/>
          <w:szCs w:val="18"/>
        </w:rPr>
        <w:t>组合中，采用账龄组合计提预期信用损失的组合计提方法：</w:t>
      </w:r>
    </w:p>
    <w:tbl>
      <w:tblPr>
        <w:tblW w:w="4950" w:type="pct"/>
        <w:jc w:val="center"/>
        <w:tblCellMar>
          <w:left w:w="0" w:type="dxa"/>
          <w:right w:w="0" w:type="dxa"/>
        </w:tblCellMar>
        <w:tblLook w:val="04A0" w:firstRow="1" w:lastRow="0" w:firstColumn="1" w:lastColumn="0" w:noHBand="0" w:noVBand="1"/>
      </w:tblPr>
      <w:tblGrid>
        <w:gridCol w:w="4931"/>
        <w:gridCol w:w="2362"/>
        <w:gridCol w:w="2303"/>
      </w:tblGrid>
      <w:tr w:rsidR="004A3B7E">
        <w:trPr>
          <w:divId w:val="1074467919"/>
          <w:trHeight w:val="475"/>
          <w:tblHeader/>
          <w:jc w:val="center"/>
        </w:trPr>
        <w:tc>
          <w:tcPr>
            <w:tcW w:w="256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pPr>
            <w:r>
              <w:rPr>
                <w:rFonts w:hint="eastAsia"/>
                <w:sz w:val="18"/>
                <w:szCs w:val="18"/>
              </w:rPr>
              <w:t>账龄</w:t>
            </w:r>
          </w:p>
        </w:tc>
        <w:tc>
          <w:tcPr>
            <w:tcW w:w="123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pPr>
            <w:r>
              <w:rPr>
                <w:rFonts w:hint="eastAsia"/>
                <w:sz w:val="18"/>
                <w:szCs w:val="18"/>
              </w:rPr>
              <w:t>应收账款计提比例（%）</w:t>
            </w:r>
          </w:p>
        </w:tc>
        <w:tc>
          <w:tcPr>
            <w:tcW w:w="120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pPr>
            <w:r>
              <w:rPr>
                <w:rFonts w:hint="eastAsia"/>
                <w:sz w:val="18"/>
                <w:szCs w:val="18"/>
              </w:rPr>
              <w:t>其他应收款计提比例（%）</w:t>
            </w:r>
          </w:p>
        </w:tc>
      </w:tr>
      <w:tr w:rsidR="004A3B7E">
        <w:trPr>
          <w:divId w:val="1074467919"/>
          <w:trHeight w:val="300"/>
          <w:jc w:val="center"/>
        </w:trPr>
        <w:tc>
          <w:tcPr>
            <w:tcW w:w="256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pPr>
            <w:r>
              <w:rPr>
                <w:rFonts w:hint="eastAsia"/>
                <w:sz w:val="18"/>
                <w:szCs w:val="18"/>
              </w:rPr>
              <w:t>1年以内</w:t>
            </w:r>
          </w:p>
        </w:tc>
        <w:tc>
          <w:tcPr>
            <w:tcW w:w="123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pPr>
            <w:r>
              <w:rPr>
                <w:rFonts w:hint="eastAsia"/>
                <w:sz w:val="18"/>
                <w:szCs w:val="18"/>
              </w:rPr>
              <w:t>5.00</w:t>
            </w:r>
          </w:p>
        </w:tc>
        <w:tc>
          <w:tcPr>
            <w:tcW w:w="1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pPr>
            <w:r>
              <w:rPr>
                <w:rFonts w:hint="eastAsia"/>
                <w:sz w:val="18"/>
                <w:szCs w:val="18"/>
              </w:rPr>
              <w:t>5.00</w:t>
            </w:r>
          </w:p>
        </w:tc>
      </w:tr>
      <w:tr w:rsidR="004A3B7E">
        <w:trPr>
          <w:divId w:val="1074467919"/>
          <w:trHeight w:val="300"/>
          <w:jc w:val="center"/>
        </w:trPr>
        <w:tc>
          <w:tcPr>
            <w:tcW w:w="256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pPr>
            <w:r>
              <w:rPr>
                <w:rFonts w:hint="eastAsia"/>
                <w:sz w:val="18"/>
                <w:szCs w:val="18"/>
              </w:rPr>
              <w:t>1-2年</w:t>
            </w:r>
          </w:p>
        </w:tc>
        <w:tc>
          <w:tcPr>
            <w:tcW w:w="123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pPr>
            <w:r>
              <w:rPr>
                <w:rFonts w:hint="eastAsia"/>
                <w:sz w:val="18"/>
                <w:szCs w:val="18"/>
              </w:rPr>
              <w:t>10.00</w:t>
            </w:r>
          </w:p>
        </w:tc>
        <w:tc>
          <w:tcPr>
            <w:tcW w:w="1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pPr>
            <w:r>
              <w:rPr>
                <w:rFonts w:hint="eastAsia"/>
                <w:sz w:val="18"/>
                <w:szCs w:val="18"/>
              </w:rPr>
              <w:t>10.00</w:t>
            </w:r>
          </w:p>
        </w:tc>
      </w:tr>
      <w:tr w:rsidR="004A3B7E">
        <w:trPr>
          <w:divId w:val="1074467919"/>
          <w:trHeight w:val="300"/>
          <w:jc w:val="center"/>
        </w:trPr>
        <w:tc>
          <w:tcPr>
            <w:tcW w:w="256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pPr>
            <w:r>
              <w:rPr>
                <w:rFonts w:hint="eastAsia"/>
                <w:sz w:val="18"/>
                <w:szCs w:val="18"/>
              </w:rPr>
              <w:t>2-3年</w:t>
            </w:r>
          </w:p>
        </w:tc>
        <w:tc>
          <w:tcPr>
            <w:tcW w:w="123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pPr>
            <w:r>
              <w:rPr>
                <w:rFonts w:hint="eastAsia"/>
                <w:sz w:val="18"/>
                <w:szCs w:val="18"/>
              </w:rPr>
              <w:t>30.00</w:t>
            </w:r>
          </w:p>
        </w:tc>
        <w:tc>
          <w:tcPr>
            <w:tcW w:w="1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pPr>
            <w:r>
              <w:rPr>
                <w:rFonts w:hint="eastAsia"/>
                <w:sz w:val="18"/>
                <w:szCs w:val="18"/>
              </w:rPr>
              <w:t>30.00</w:t>
            </w:r>
          </w:p>
        </w:tc>
      </w:tr>
      <w:tr w:rsidR="004A3B7E">
        <w:trPr>
          <w:divId w:val="1074467919"/>
          <w:trHeight w:val="300"/>
          <w:jc w:val="center"/>
        </w:trPr>
        <w:tc>
          <w:tcPr>
            <w:tcW w:w="256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pPr>
            <w:r>
              <w:rPr>
                <w:rFonts w:hint="eastAsia"/>
                <w:sz w:val="18"/>
                <w:szCs w:val="18"/>
              </w:rPr>
              <w:t>3-4年</w:t>
            </w:r>
          </w:p>
        </w:tc>
        <w:tc>
          <w:tcPr>
            <w:tcW w:w="123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pPr>
            <w:r>
              <w:rPr>
                <w:rFonts w:hint="eastAsia"/>
                <w:sz w:val="18"/>
                <w:szCs w:val="18"/>
              </w:rPr>
              <w:t>50.00</w:t>
            </w:r>
          </w:p>
        </w:tc>
        <w:tc>
          <w:tcPr>
            <w:tcW w:w="1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pPr>
            <w:r>
              <w:rPr>
                <w:rFonts w:hint="eastAsia"/>
                <w:sz w:val="18"/>
                <w:szCs w:val="18"/>
              </w:rPr>
              <w:t>50.00</w:t>
            </w:r>
          </w:p>
        </w:tc>
      </w:tr>
      <w:tr w:rsidR="004A3B7E">
        <w:trPr>
          <w:divId w:val="1074467919"/>
          <w:trHeight w:val="300"/>
          <w:jc w:val="center"/>
        </w:trPr>
        <w:tc>
          <w:tcPr>
            <w:tcW w:w="256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pPr>
            <w:r>
              <w:rPr>
                <w:rFonts w:hint="eastAsia"/>
                <w:sz w:val="18"/>
                <w:szCs w:val="18"/>
              </w:rPr>
              <w:t>4-5年</w:t>
            </w:r>
          </w:p>
        </w:tc>
        <w:tc>
          <w:tcPr>
            <w:tcW w:w="123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pPr>
            <w:r>
              <w:rPr>
                <w:rFonts w:hint="eastAsia"/>
                <w:sz w:val="18"/>
                <w:szCs w:val="18"/>
              </w:rPr>
              <w:t>80.00</w:t>
            </w:r>
          </w:p>
        </w:tc>
        <w:tc>
          <w:tcPr>
            <w:tcW w:w="1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pPr>
            <w:r>
              <w:rPr>
                <w:rFonts w:hint="eastAsia"/>
                <w:sz w:val="18"/>
                <w:szCs w:val="18"/>
              </w:rPr>
              <w:t>80.00</w:t>
            </w:r>
          </w:p>
        </w:tc>
      </w:tr>
      <w:tr w:rsidR="004A3B7E">
        <w:trPr>
          <w:divId w:val="1074467919"/>
          <w:trHeight w:val="300"/>
          <w:jc w:val="center"/>
        </w:trPr>
        <w:tc>
          <w:tcPr>
            <w:tcW w:w="256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pPr>
            <w:r>
              <w:rPr>
                <w:rFonts w:hint="eastAsia"/>
                <w:sz w:val="18"/>
                <w:szCs w:val="18"/>
              </w:rPr>
              <w:t>5年以上</w:t>
            </w:r>
          </w:p>
        </w:tc>
        <w:tc>
          <w:tcPr>
            <w:tcW w:w="123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pPr>
            <w:r>
              <w:rPr>
                <w:rFonts w:hint="eastAsia"/>
                <w:sz w:val="18"/>
                <w:szCs w:val="18"/>
              </w:rPr>
              <w:t>100.00</w:t>
            </w:r>
          </w:p>
        </w:tc>
        <w:tc>
          <w:tcPr>
            <w:tcW w:w="1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pPr>
            <w:r>
              <w:rPr>
                <w:rFonts w:hint="eastAsia"/>
                <w:sz w:val="18"/>
                <w:szCs w:val="18"/>
              </w:rPr>
              <w:t>100.00</w:t>
            </w:r>
          </w:p>
        </w:tc>
      </w:tr>
    </w:tbl>
    <w:p w:rsidR="004A3B7E" w:rsidRDefault="00452DEF">
      <w:pPr>
        <w:pStyle w:val="a3"/>
        <w:spacing w:before="0" w:beforeAutospacing="0" w:after="0" w:afterAutospacing="0" w:line="400" w:lineRule="atLeast"/>
        <w:ind w:left="420"/>
        <w:divId w:val="1074467919"/>
      </w:pPr>
      <w:r>
        <w:rPr>
          <w:rFonts w:hint="eastAsia"/>
          <w:sz w:val="18"/>
          <w:szCs w:val="18"/>
        </w:rPr>
        <w:t>③应收款项融资</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分类为以公允价值计量且其变动计入其他综合收益的应收票据，自取得起期限在一年内（含一年）的部分，列示为应收款项融资；自取得起期限在一年以上的，列示为其他债权投资。</w:t>
      </w:r>
    </w:p>
    <w:p w:rsidR="004A3B7E" w:rsidRDefault="00452DEF">
      <w:pPr>
        <w:pStyle w:val="a3"/>
        <w:spacing w:before="0" w:beforeAutospacing="0" w:after="0" w:afterAutospacing="0" w:line="400" w:lineRule="atLeast"/>
        <w:ind w:firstLine="360"/>
        <w:jc w:val="both"/>
        <w:divId w:val="1074467919"/>
      </w:pPr>
      <w:r>
        <w:rPr>
          <w:rFonts w:hint="eastAsia"/>
          <w:sz w:val="18"/>
          <w:szCs w:val="18"/>
        </w:rPr>
        <w:t>④其他应收款</w:t>
      </w:r>
    </w:p>
    <w:p w:rsidR="004A3B7E" w:rsidRDefault="00452DEF">
      <w:pPr>
        <w:pStyle w:val="a3"/>
        <w:spacing w:before="0" w:beforeAutospacing="0" w:after="0" w:afterAutospacing="0" w:line="400" w:lineRule="atLeast"/>
        <w:ind w:firstLine="360"/>
        <w:divId w:val="1074467919"/>
      </w:pPr>
      <w:r>
        <w:rPr>
          <w:rFonts w:hint="eastAsia"/>
          <w:sz w:val="18"/>
          <w:szCs w:val="18"/>
        </w:rPr>
        <w:t>本公司依据其他应收款信用风险自初始确认后是否已经显著增加，采用相当于未来12个月内、或整个存续期的预期信用损失的金额计量减值损失。除了单项评估信用风险的其他应收款外，基于其信用风险特征，将其划分为不同组合：</w:t>
      </w:r>
    </w:p>
    <w:tbl>
      <w:tblPr>
        <w:tblW w:w="9650" w:type="dxa"/>
        <w:tblCellMar>
          <w:left w:w="0" w:type="dxa"/>
          <w:right w:w="0" w:type="dxa"/>
        </w:tblCellMar>
        <w:tblLook w:val="04A0" w:firstRow="1" w:lastRow="0" w:firstColumn="1" w:lastColumn="0" w:noHBand="0" w:noVBand="1"/>
      </w:tblPr>
      <w:tblGrid>
        <w:gridCol w:w="2005"/>
        <w:gridCol w:w="7645"/>
      </w:tblGrid>
      <w:tr w:rsidR="004A3B7E">
        <w:trPr>
          <w:divId w:val="1074467919"/>
          <w:trHeight w:val="378"/>
          <w:tblHeader/>
        </w:trPr>
        <w:tc>
          <w:tcPr>
            <w:tcW w:w="2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pPr>
            <w:r>
              <w:rPr>
                <w:rFonts w:hint="eastAsia"/>
                <w:sz w:val="18"/>
                <w:szCs w:val="18"/>
              </w:rPr>
              <w:t>项  目</w:t>
            </w:r>
          </w:p>
        </w:tc>
        <w:tc>
          <w:tcPr>
            <w:tcW w:w="76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ind w:firstLine="360"/>
              <w:jc w:val="center"/>
            </w:pPr>
            <w:r>
              <w:rPr>
                <w:rFonts w:hint="eastAsia"/>
                <w:sz w:val="18"/>
                <w:szCs w:val="18"/>
              </w:rPr>
              <w:t>确定组合的依据</w:t>
            </w:r>
          </w:p>
        </w:tc>
      </w:tr>
      <w:tr w:rsidR="004A3B7E">
        <w:trPr>
          <w:divId w:val="1074467919"/>
          <w:trHeight w:val="300"/>
        </w:trPr>
        <w:tc>
          <w:tcPr>
            <w:tcW w:w="2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pPr>
            <w:r>
              <w:rPr>
                <w:rFonts w:hint="eastAsia"/>
                <w:sz w:val="18"/>
                <w:szCs w:val="18"/>
              </w:rPr>
              <w:lastRenderedPageBreak/>
              <w:t>押金及保证金</w:t>
            </w:r>
          </w:p>
        </w:tc>
        <w:tc>
          <w:tcPr>
            <w:tcW w:w="76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3B7E" w:rsidRDefault="00452DEF">
            <w:pPr>
              <w:pStyle w:val="a3"/>
              <w:spacing w:before="0" w:beforeAutospacing="0" w:after="0" w:afterAutospacing="0" w:line="400" w:lineRule="atLeast"/>
            </w:pPr>
            <w:r>
              <w:rPr>
                <w:rFonts w:hint="eastAsia"/>
                <w:sz w:val="18"/>
                <w:szCs w:val="18"/>
              </w:rPr>
              <w:t>本组合为日常经常活动中应收取的各类押金、代垫款、质保金等应收款项。</w:t>
            </w:r>
          </w:p>
        </w:tc>
      </w:tr>
      <w:tr w:rsidR="004A3B7E">
        <w:trPr>
          <w:divId w:val="1074467919"/>
          <w:trHeight w:val="300"/>
        </w:trPr>
        <w:tc>
          <w:tcPr>
            <w:tcW w:w="20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3B7E" w:rsidRDefault="00452DEF">
            <w:pPr>
              <w:pStyle w:val="a3"/>
              <w:spacing w:before="0" w:beforeAutospacing="0" w:after="0" w:afterAutospacing="0" w:line="400" w:lineRule="atLeast"/>
            </w:pPr>
            <w:r>
              <w:rPr>
                <w:rFonts w:hint="eastAsia"/>
                <w:sz w:val="18"/>
                <w:szCs w:val="18"/>
              </w:rPr>
              <w:t>备用金</w:t>
            </w:r>
          </w:p>
        </w:tc>
        <w:tc>
          <w:tcPr>
            <w:tcW w:w="76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3B7E" w:rsidRDefault="00452DEF">
            <w:pPr>
              <w:pStyle w:val="a3"/>
              <w:spacing w:before="0" w:beforeAutospacing="0" w:after="0" w:afterAutospacing="0" w:line="400" w:lineRule="atLeast"/>
            </w:pPr>
            <w:r>
              <w:rPr>
                <w:rFonts w:hint="eastAsia"/>
                <w:sz w:val="18"/>
                <w:szCs w:val="18"/>
              </w:rPr>
              <w:t>本组合为日常经常活动中支付给员工的备用金</w:t>
            </w:r>
          </w:p>
        </w:tc>
      </w:tr>
      <w:tr w:rsidR="004A3B7E">
        <w:trPr>
          <w:divId w:val="1074467919"/>
          <w:trHeight w:val="300"/>
        </w:trPr>
        <w:tc>
          <w:tcPr>
            <w:tcW w:w="2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pPr>
            <w:r>
              <w:rPr>
                <w:rFonts w:hint="eastAsia"/>
                <w:sz w:val="18"/>
                <w:szCs w:val="18"/>
              </w:rPr>
              <w:t>往来款</w:t>
            </w:r>
          </w:p>
        </w:tc>
        <w:tc>
          <w:tcPr>
            <w:tcW w:w="7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pPr>
            <w:r>
              <w:rPr>
                <w:rFonts w:hint="eastAsia"/>
                <w:sz w:val="18"/>
                <w:szCs w:val="18"/>
              </w:rPr>
              <w:t>其他往来款项</w:t>
            </w:r>
          </w:p>
        </w:tc>
      </w:tr>
    </w:tbl>
    <w:p w:rsidR="00BD1BB9" w:rsidRDefault="00452DEF">
      <w:pPr>
        <w:pStyle w:val="3"/>
        <w:spacing w:line="280" w:lineRule="exact"/>
        <w:jc w:val="left"/>
        <w:rPr>
          <w:rFonts w:ascii="宋体" w:hAnsi="宋体" w:cs="宋体"/>
          <w:b/>
          <w:bCs/>
        </w:rPr>
      </w:pPr>
      <w:bookmarkStart w:id="133" w:name="_Toc989003"/>
      <w:r>
        <w:rPr>
          <w:rFonts w:ascii="宋体" w:hAnsi="宋体" w:cs="宋体"/>
          <w:b/>
          <w:bCs/>
        </w:rPr>
        <w:t>13、存货</w:t>
      </w:r>
      <w:bookmarkEnd w:id="133"/>
    </w:p>
    <w:p w:rsidR="004A3B7E" w:rsidRDefault="00452DEF">
      <w:pPr>
        <w:pStyle w:val="a3"/>
        <w:spacing w:before="0" w:beforeAutospacing="0" w:after="0" w:afterAutospacing="0"/>
        <w:ind w:firstLine="363"/>
        <w:jc w:val="both"/>
        <w:divId w:val="521825947"/>
      </w:pPr>
      <w:r>
        <w:rPr>
          <w:rFonts w:hint="eastAsia"/>
          <w:sz w:val="18"/>
          <w:szCs w:val="18"/>
        </w:rPr>
        <w:t>（1）存货的分类</w:t>
      </w:r>
    </w:p>
    <w:p w:rsidR="004A3B7E" w:rsidRDefault="00452DEF">
      <w:pPr>
        <w:pStyle w:val="a3"/>
        <w:spacing w:before="0" w:beforeAutospacing="0" w:after="0" w:afterAutospacing="0" w:line="400" w:lineRule="atLeast"/>
        <w:ind w:firstLine="360"/>
        <w:jc w:val="both"/>
        <w:divId w:val="521825947"/>
      </w:pPr>
      <w:r>
        <w:rPr>
          <w:rFonts w:hint="eastAsia"/>
          <w:sz w:val="18"/>
          <w:szCs w:val="18"/>
        </w:rPr>
        <w:t>存货主要包括原材料、自制半成品、产成品、库存商品、发出商品。</w:t>
      </w:r>
    </w:p>
    <w:p w:rsidR="004A3B7E" w:rsidRDefault="00452DEF">
      <w:pPr>
        <w:pStyle w:val="a3"/>
        <w:spacing w:before="0" w:beforeAutospacing="0" w:after="0" w:afterAutospacing="0" w:line="400" w:lineRule="atLeast"/>
        <w:ind w:firstLine="360"/>
        <w:jc w:val="both"/>
        <w:divId w:val="521825947"/>
      </w:pPr>
      <w:r>
        <w:rPr>
          <w:rFonts w:hint="eastAsia"/>
          <w:sz w:val="18"/>
          <w:szCs w:val="18"/>
        </w:rPr>
        <w:t>（2）发出的计价方法</w:t>
      </w:r>
    </w:p>
    <w:p w:rsidR="004A3B7E" w:rsidRDefault="00452DEF">
      <w:pPr>
        <w:pStyle w:val="a3"/>
        <w:spacing w:before="0" w:beforeAutospacing="0" w:after="0" w:afterAutospacing="0" w:line="400" w:lineRule="atLeast"/>
        <w:ind w:firstLine="360"/>
        <w:divId w:val="521825947"/>
      </w:pPr>
      <w:r>
        <w:rPr>
          <w:rFonts w:hint="eastAsia"/>
          <w:sz w:val="18"/>
          <w:szCs w:val="18"/>
        </w:rPr>
        <w:t>存货在取得时按实际成本计价，存货成本包括采购成本、加工成本和其他成本。领用和发出时按加权平均法计价。</w:t>
      </w:r>
    </w:p>
    <w:p w:rsidR="004A3B7E" w:rsidRDefault="00452DEF">
      <w:pPr>
        <w:pStyle w:val="a3"/>
        <w:spacing w:before="0" w:beforeAutospacing="0" w:after="0" w:afterAutospacing="0" w:line="400" w:lineRule="atLeast"/>
        <w:ind w:firstLine="360"/>
        <w:divId w:val="521825947"/>
      </w:pPr>
      <w:r>
        <w:rPr>
          <w:rFonts w:hint="eastAsia"/>
          <w:sz w:val="18"/>
          <w:szCs w:val="18"/>
        </w:rPr>
        <w:t>（3）存货的盘存制度为永续盘存制。</w:t>
      </w:r>
    </w:p>
    <w:p w:rsidR="004A3B7E" w:rsidRDefault="00452DEF">
      <w:pPr>
        <w:pStyle w:val="a3"/>
        <w:spacing w:before="0" w:beforeAutospacing="0" w:after="0" w:afterAutospacing="0" w:line="400" w:lineRule="atLeast"/>
        <w:ind w:firstLine="360"/>
        <w:jc w:val="both"/>
        <w:divId w:val="521825947"/>
      </w:pPr>
      <w:r>
        <w:rPr>
          <w:rFonts w:hint="eastAsia"/>
          <w:sz w:val="18"/>
          <w:szCs w:val="18"/>
        </w:rPr>
        <w:t>（4）低值易耗品和包装物的摊销方法</w:t>
      </w:r>
    </w:p>
    <w:p w:rsidR="004A3B7E" w:rsidRDefault="00452DEF">
      <w:pPr>
        <w:pStyle w:val="a3"/>
        <w:spacing w:before="0" w:beforeAutospacing="0" w:after="0" w:afterAutospacing="0" w:line="400" w:lineRule="atLeast"/>
        <w:ind w:right="147" w:firstLine="360"/>
        <w:jc w:val="both"/>
        <w:divId w:val="521825947"/>
      </w:pPr>
      <w:r>
        <w:rPr>
          <w:rFonts w:hint="eastAsia"/>
          <w:sz w:val="18"/>
          <w:szCs w:val="18"/>
        </w:rPr>
        <w:t>低值易耗品于领用时按一次摊销法摊销；包装物于领用时按一次摊销法摊销。</w:t>
      </w:r>
    </w:p>
    <w:p w:rsidR="004A3B7E" w:rsidRDefault="00452DEF">
      <w:pPr>
        <w:pStyle w:val="a3"/>
        <w:spacing w:before="0" w:beforeAutospacing="0" w:after="0" w:afterAutospacing="0" w:line="400" w:lineRule="atLeast"/>
        <w:ind w:firstLine="360"/>
        <w:jc w:val="both"/>
        <w:divId w:val="521825947"/>
      </w:pPr>
      <w:r>
        <w:rPr>
          <w:rFonts w:hint="eastAsia"/>
          <w:sz w:val="18"/>
          <w:szCs w:val="18"/>
        </w:rPr>
        <w:t>（5）存货跌价准备的确认标准和计提方法</w:t>
      </w:r>
    </w:p>
    <w:p w:rsidR="004A3B7E" w:rsidRDefault="00452DEF">
      <w:pPr>
        <w:pStyle w:val="a3"/>
        <w:spacing w:before="0" w:beforeAutospacing="0" w:after="0" w:afterAutospacing="0" w:line="400" w:lineRule="atLeast"/>
        <w:ind w:firstLine="360"/>
        <w:divId w:val="521825947"/>
      </w:pPr>
      <w:r>
        <w:rPr>
          <w:rFonts w:hint="eastAsia"/>
          <w:sz w:val="18"/>
          <w:szCs w:val="18"/>
        </w:rPr>
        <w:t>本公司通常按照单个存货项目计提存货跌价准备。对于数量繁多、单价较低的存货，按照存货类别计提存货跌价准备。</w:t>
      </w:r>
    </w:p>
    <w:p w:rsidR="004A3B7E" w:rsidRDefault="00452DEF">
      <w:pPr>
        <w:pStyle w:val="a3"/>
        <w:spacing w:before="0" w:beforeAutospacing="0" w:after="0" w:afterAutospacing="0" w:line="400" w:lineRule="atLeast"/>
        <w:ind w:firstLine="360"/>
        <w:divId w:val="521825947"/>
      </w:pPr>
      <w:r>
        <w:rPr>
          <w:rFonts w:hint="eastAsia"/>
          <w:sz w:val="18"/>
          <w:szCs w:val="18"/>
        </w:rPr>
        <w:t>存货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4A3B7E" w:rsidRDefault="00452DEF">
      <w:pPr>
        <w:pStyle w:val="a3"/>
        <w:spacing w:before="0" w:beforeAutospacing="0" w:after="0" w:afterAutospacing="0" w:line="400" w:lineRule="atLeast"/>
        <w:ind w:firstLine="360"/>
        <w:jc w:val="both"/>
        <w:divId w:val="521825947"/>
      </w:pPr>
      <w:r>
        <w:rPr>
          <w:rFonts w:hint="eastAsia"/>
          <w:sz w:val="18"/>
          <w:szCs w:val="18"/>
        </w:rPr>
        <w:t>在资产负债表日，存货按照成本与可变现净值孰低计量。当其可变现净值低于成本时，提取存货跌价准备。存货跌价准备按单个存货项目的成本高于其可变现净值的差额提取。</w:t>
      </w:r>
    </w:p>
    <w:p w:rsidR="004A3B7E" w:rsidRDefault="00452DEF">
      <w:pPr>
        <w:pStyle w:val="a3"/>
        <w:spacing w:before="0" w:beforeAutospacing="0" w:after="0" w:afterAutospacing="0" w:line="400" w:lineRule="atLeast"/>
        <w:ind w:firstLine="360"/>
        <w:divId w:val="521825947"/>
      </w:pPr>
      <w:r>
        <w:rPr>
          <w:rFonts w:hint="eastAsia"/>
          <w:sz w:val="18"/>
          <w:szCs w:val="18"/>
        </w:rPr>
        <w:t>计提存货跌价准备后，如果以前减记存货价值的影响因素已经消失，导致存货的可变现净值高于其账面价值的，在原已计提的存货跌价准备金额内予以转回，转回的金额计入当期损益。</w:t>
      </w:r>
    </w:p>
    <w:p w:rsidR="00BD1BB9" w:rsidRDefault="00452DEF">
      <w:pPr>
        <w:pStyle w:val="3"/>
        <w:spacing w:line="280" w:lineRule="exact"/>
        <w:jc w:val="left"/>
        <w:rPr>
          <w:rFonts w:ascii="宋体" w:hAnsi="宋体" w:cs="宋体"/>
          <w:b/>
          <w:bCs/>
        </w:rPr>
      </w:pPr>
      <w:bookmarkStart w:id="134" w:name="_Toc989004"/>
      <w:r>
        <w:rPr>
          <w:rFonts w:ascii="宋体" w:hAnsi="宋体" w:cs="宋体"/>
          <w:b/>
          <w:bCs/>
        </w:rPr>
        <w:t>14、长期股权投资</w:t>
      </w:r>
      <w:bookmarkEnd w:id="134"/>
    </w:p>
    <w:p w:rsidR="004A3B7E" w:rsidRDefault="00452DEF">
      <w:pPr>
        <w:pStyle w:val="a3"/>
        <w:spacing w:before="0" w:beforeAutospacing="0" w:after="0" w:afterAutospacing="0" w:line="400" w:lineRule="atLeast"/>
        <w:ind w:firstLine="360"/>
        <w:divId w:val="1582324949"/>
      </w:pPr>
      <w:r>
        <w:rPr>
          <w:rFonts w:hint="eastAsia"/>
          <w:sz w:val="18"/>
          <w:szCs w:val="18"/>
        </w:rPr>
        <w:t>本部分所指的长期股权投资是指本公司对被投资单位具有控制、共同控制或重大影响的长期股权投资。本公司对被投资单位不具有控制、共同控制或重大影响的长期股权投资，作为以公允价值计量且其变动计入当期损益的金融资产核算，其中如果属于非交易性的，本公司在初始确认时可选择将其指定为以公允价值计量且其变动计入其他综合收益的金融资产核算，其会计政策详见</w:t>
      </w:r>
      <w:r>
        <w:rPr>
          <w:rFonts w:hint="eastAsia"/>
          <w:sz w:val="18"/>
          <w:szCs w:val="18"/>
          <w:shd w:val="clear" w:color="auto" w:fill="FFFFFF"/>
        </w:rPr>
        <w:t>附注五、11“金融工具”。</w:t>
      </w:r>
    </w:p>
    <w:p w:rsidR="004A3B7E" w:rsidRDefault="00452DEF">
      <w:pPr>
        <w:pStyle w:val="a3"/>
        <w:spacing w:before="0" w:beforeAutospacing="0" w:after="0" w:afterAutospacing="0" w:line="400" w:lineRule="atLeast"/>
        <w:ind w:firstLine="360"/>
        <w:divId w:val="1582324949"/>
      </w:pPr>
      <w:r>
        <w:rPr>
          <w:rFonts w:hint="eastAsia"/>
          <w:sz w:val="18"/>
          <w:szCs w:val="18"/>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4A3B7E" w:rsidRDefault="00452DEF">
      <w:pPr>
        <w:pStyle w:val="a3"/>
        <w:spacing w:before="0" w:beforeAutospacing="0" w:after="0" w:afterAutospacing="0" w:line="400" w:lineRule="atLeast"/>
        <w:ind w:firstLine="360"/>
        <w:divId w:val="1582324949"/>
      </w:pPr>
      <w:r>
        <w:rPr>
          <w:rFonts w:hint="eastAsia"/>
          <w:sz w:val="18"/>
          <w:szCs w:val="18"/>
        </w:rPr>
        <w:t>（1）投资成本的确定</w:t>
      </w:r>
    </w:p>
    <w:p w:rsidR="004A3B7E" w:rsidRDefault="00452DEF">
      <w:pPr>
        <w:pStyle w:val="a3"/>
        <w:spacing w:before="0" w:beforeAutospacing="0" w:after="0" w:afterAutospacing="0" w:line="400" w:lineRule="atLeast"/>
        <w:ind w:firstLine="360"/>
        <w:divId w:val="1582324949"/>
      </w:pPr>
      <w:r>
        <w:rPr>
          <w:rFonts w:hint="eastAsia"/>
          <w:sz w:val="18"/>
          <w:szCs w:val="18"/>
        </w:rPr>
        <w:lastRenderedPageBreak/>
        <w:t>对于同一控制下的企业合并取得的长期股权投资，在合并日按照被合并方股东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股东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一揽子交易”进行处理：属于“一揽子交易”的，将各项交易作为一项取得控制权的交易进行会计处理。不属于“一揽子交易”的，在合并日按照应享有被合并方股东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rsidR="004A3B7E" w:rsidRDefault="00452DEF">
      <w:pPr>
        <w:pStyle w:val="a3"/>
        <w:spacing w:before="0" w:beforeAutospacing="0" w:after="0" w:afterAutospacing="0" w:line="400" w:lineRule="atLeast"/>
        <w:ind w:firstLine="360"/>
        <w:divId w:val="1582324949"/>
      </w:pPr>
      <w:r>
        <w:rPr>
          <w:rFonts w:hint="eastAsia"/>
          <w:sz w:val="18"/>
          <w:szCs w:val="18"/>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w:t>
      </w:r>
    </w:p>
    <w:p w:rsidR="004A3B7E" w:rsidRDefault="00452DEF">
      <w:pPr>
        <w:pStyle w:val="a3"/>
        <w:spacing w:before="0" w:beforeAutospacing="0" w:after="0" w:afterAutospacing="0" w:line="400" w:lineRule="atLeast"/>
        <w:ind w:firstLine="360"/>
        <w:divId w:val="1582324949"/>
      </w:pPr>
      <w:r>
        <w:rPr>
          <w:rFonts w:hint="eastAsia"/>
          <w:sz w:val="18"/>
          <w:szCs w:val="18"/>
        </w:rPr>
        <w:t>合并方或购买方为企业合并发生的审计、法律服务、评估咨询等中介费用以及其他相关管理费用，于发生时计入当期损益。</w:t>
      </w:r>
    </w:p>
    <w:p w:rsidR="004A3B7E" w:rsidRDefault="00452DEF">
      <w:pPr>
        <w:pStyle w:val="a3"/>
        <w:spacing w:before="0" w:beforeAutospacing="0" w:after="0" w:afterAutospacing="0" w:line="400" w:lineRule="atLeast"/>
        <w:ind w:firstLine="360"/>
        <w:jc w:val="both"/>
        <w:divId w:val="1582324949"/>
      </w:pPr>
      <w:r>
        <w:rPr>
          <w:rFonts w:hint="eastAsia"/>
          <w:sz w:val="18"/>
          <w:szCs w:val="18"/>
        </w:rPr>
        <w:t>除企业合并形成的长期股权投资外的其他股权投资，按成本进行初始计量，该成本视长期股权投资取得方式的不同，分别按照本公司实际支付的现金购买价款、本公司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22号——金融工具确认和计量》确定的原持有股权投资的公允价值加上新增投资成本之和。</w:t>
      </w:r>
    </w:p>
    <w:p w:rsidR="004A3B7E" w:rsidRDefault="00452DEF">
      <w:pPr>
        <w:pStyle w:val="a3"/>
        <w:spacing w:before="0" w:beforeAutospacing="0" w:after="0" w:afterAutospacing="0" w:line="400" w:lineRule="atLeast"/>
        <w:ind w:firstLine="360"/>
        <w:divId w:val="1582324949"/>
      </w:pPr>
      <w:r>
        <w:rPr>
          <w:rFonts w:hint="eastAsia"/>
          <w:sz w:val="18"/>
          <w:szCs w:val="18"/>
        </w:rPr>
        <w:t>（2）后续计量及损益确认方法</w:t>
      </w:r>
    </w:p>
    <w:p w:rsidR="004A3B7E" w:rsidRDefault="00452DEF">
      <w:pPr>
        <w:pStyle w:val="a3"/>
        <w:spacing w:before="0" w:beforeAutospacing="0" w:after="0" w:afterAutospacing="0" w:line="400" w:lineRule="atLeast"/>
        <w:ind w:firstLine="360"/>
        <w:divId w:val="1582324949"/>
      </w:pPr>
      <w:r>
        <w:rPr>
          <w:rFonts w:hint="eastAsia"/>
          <w:sz w:val="18"/>
          <w:szCs w:val="18"/>
        </w:rPr>
        <w:t>对被投资单位具有共同控制（构成共同经营者除外）或重大影响的长期股权投资，采用权益法核算。此外，公司财务报表采用成本法核算能够对被投资单位实施控制的长期股权投资。</w:t>
      </w:r>
    </w:p>
    <w:p w:rsidR="004A3B7E" w:rsidRDefault="00452DEF">
      <w:pPr>
        <w:pStyle w:val="a3"/>
        <w:spacing w:before="0" w:beforeAutospacing="0" w:after="0" w:afterAutospacing="0" w:line="400" w:lineRule="atLeast"/>
        <w:ind w:firstLine="360"/>
        <w:divId w:val="1582324949"/>
      </w:pPr>
      <w:r>
        <w:rPr>
          <w:rFonts w:hint="eastAsia"/>
          <w:sz w:val="18"/>
          <w:szCs w:val="18"/>
        </w:rPr>
        <w:t>① 成本法核算的长期股权投资</w:t>
      </w:r>
    </w:p>
    <w:p w:rsidR="004A3B7E" w:rsidRDefault="00452DEF">
      <w:pPr>
        <w:pStyle w:val="a3"/>
        <w:spacing w:before="0" w:beforeAutospacing="0" w:after="0" w:afterAutospacing="0" w:line="400" w:lineRule="atLeast"/>
        <w:ind w:firstLine="360"/>
        <w:divId w:val="1582324949"/>
      </w:pPr>
      <w:r>
        <w:rPr>
          <w:rFonts w:hint="eastAsia"/>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4A3B7E" w:rsidRDefault="00452DEF">
      <w:pPr>
        <w:pStyle w:val="a3"/>
        <w:spacing w:before="0" w:beforeAutospacing="0" w:after="0" w:afterAutospacing="0" w:line="400" w:lineRule="atLeast"/>
        <w:ind w:firstLine="360"/>
        <w:divId w:val="1582324949"/>
      </w:pPr>
      <w:r>
        <w:rPr>
          <w:rFonts w:hint="eastAsia"/>
          <w:sz w:val="18"/>
          <w:szCs w:val="18"/>
        </w:rPr>
        <w:t>② 权益法核算的长期股权投资</w:t>
      </w:r>
    </w:p>
    <w:p w:rsidR="004A3B7E" w:rsidRDefault="00452DEF">
      <w:pPr>
        <w:pStyle w:val="a3"/>
        <w:spacing w:before="0" w:beforeAutospacing="0" w:after="0" w:afterAutospacing="0" w:line="400" w:lineRule="atLeast"/>
        <w:ind w:firstLine="360"/>
        <w:divId w:val="1582324949"/>
      </w:pPr>
      <w:r>
        <w:rPr>
          <w:rFonts w:hint="eastAsia"/>
          <w:sz w:val="18"/>
          <w:szCs w:val="18"/>
        </w:rPr>
        <w:lastRenderedPageBreak/>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4A3B7E" w:rsidRDefault="00452DEF">
      <w:pPr>
        <w:pStyle w:val="a3"/>
        <w:spacing w:before="0" w:beforeAutospacing="0" w:after="0" w:afterAutospacing="0" w:line="400" w:lineRule="atLeast"/>
        <w:ind w:firstLine="360"/>
        <w:divId w:val="1582324949"/>
      </w:pPr>
      <w:r>
        <w:rPr>
          <w:rFonts w:hint="eastAsia"/>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本公司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务的账面价值之差，全额计入当期损益。本公司自联营企业及合营企业购入的资产构成业务的，按《企业会计准则第20号——企业合并》的规定进行会计处理，全额确认与交易相关的利得或损失。</w:t>
      </w:r>
    </w:p>
    <w:p w:rsidR="004A3B7E" w:rsidRDefault="00452DEF">
      <w:pPr>
        <w:pStyle w:val="a3"/>
        <w:spacing w:before="0" w:beforeAutospacing="0" w:after="0" w:afterAutospacing="0" w:line="400" w:lineRule="atLeast"/>
        <w:ind w:firstLine="360"/>
        <w:divId w:val="1582324949"/>
      </w:pPr>
      <w:r>
        <w:rPr>
          <w:rFonts w:hint="eastAsia"/>
          <w:sz w:val="18"/>
          <w:szCs w:val="18"/>
        </w:rPr>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4A3B7E" w:rsidRDefault="00452DEF">
      <w:pPr>
        <w:pStyle w:val="a3"/>
        <w:spacing w:before="0" w:beforeAutospacing="0" w:after="0" w:afterAutospacing="0" w:line="400" w:lineRule="atLeast"/>
        <w:ind w:firstLine="360"/>
        <w:divId w:val="1582324949"/>
      </w:pPr>
      <w:r>
        <w:rPr>
          <w:rFonts w:hint="eastAsia"/>
          <w:sz w:val="18"/>
          <w:szCs w:val="18"/>
        </w:rPr>
        <w:t>③ 收购少数股权</w:t>
      </w:r>
    </w:p>
    <w:p w:rsidR="004A3B7E" w:rsidRDefault="00452DEF">
      <w:pPr>
        <w:pStyle w:val="a3"/>
        <w:spacing w:before="0" w:beforeAutospacing="0" w:after="0" w:afterAutospacing="0" w:line="400" w:lineRule="atLeast"/>
        <w:ind w:firstLine="360"/>
        <w:divId w:val="1582324949"/>
      </w:pPr>
      <w:r>
        <w:rPr>
          <w:rFonts w:hint="eastAsia"/>
          <w:sz w:val="18"/>
          <w:szCs w:val="18"/>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rsidR="004A3B7E" w:rsidRDefault="00452DEF">
      <w:pPr>
        <w:pStyle w:val="a3"/>
        <w:spacing w:before="0" w:beforeAutospacing="0" w:after="0" w:afterAutospacing="0" w:line="400" w:lineRule="atLeast"/>
        <w:ind w:firstLine="360"/>
        <w:divId w:val="1582324949"/>
      </w:pPr>
      <w:r>
        <w:rPr>
          <w:rFonts w:hint="eastAsia"/>
          <w:sz w:val="18"/>
          <w:szCs w:val="18"/>
        </w:rPr>
        <w:t>④ 处置长期股权投资</w:t>
      </w:r>
    </w:p>
    <w:p w:rsidR="004A3B7E" w:rsidRDefault="00452DEF">
      <w:pPr>
        <w:pStyle w:val="a3"/>
        <w:spacing w:before="0" w:beforeAutospacing="0" w:after="0" w:afterAutospacing="0" w:line="400" w:lineRule="atLeast"/>
        <w:ind w:firstLine="360"/>
        <w:divId w:val="1582324949"/>
      </w:pPr>
      <w:r>
        <w:rPr>
          <w:rFonts w:hint="eastAsia"/>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w:t>
      </w:r>
      <w:r>
        <w:rPr>
          <w:rFonts w:hint="eastAsia"/>
          <w:sz w:val="18"/>
          <w:szCs w:val="18"/>
          <w:shd w:val="clear" w:color="auto" w:fill="FFFFFF"/>
        </w:rPr>
        <w:t>附注五、7、（2）“合并财务报表编制的方法”中</w:t>
      </w:r>
      <w:r>
        <w:rPr>
          <w:rFonts w:hint="eastAsia"/>
          <w:sz w:val="18"/>
          <w:szCs w:val="18"/>
        </w:rPr>
        <w:t>所述的相关会计政策处理。</w:t>
      </w:r>
    </w:p>
    <w:p w:rsidR="004A3B7E" w:rsidRDefault="00452DEF">
      <w:pPr>
        <w:pStyle w:val="a3"/>
        <w:spacing w:before="0" w:beforeAutospacing="0" w:after="0" w:afterAutospacing="0" w:line="400" w:lineRule="atLeast"/>
        <w:ind w:firstLine="360"/>
        <w:divId w:val="1582324949"/>
      </w:pPr>
      <w:r>
        <w:rPr>
          <w:rFonts w:hint="eastAsia"/>
          <w:sz w:val="18"/>
          <w:szCs w:val="18"/>
        </w:rPr>
        <w:t>其他情形下的长期股权投资处置，对于处置的股权，其账面价值与实际取得价款的差额，计入当期损益。</w:t>
      </w:r>
    </w:p>
    <w:p w:rsidR="004A3B7E" w:rsidRDefault="00452DEF">
      <w:pPr>
        <w:pStyle w:val="a3"/>
        <w:spacing w:before="0" w:beforeAutospacing="0" w:after="0" w:afterAutospacing="0" w:line="400" w:lineRule="atLeast"/>
        <w:ind w:firstLine="360"/>
        <w:divId w:val="1582324949"/>
      </w:pPr>
      <w:r>
        <w:rPr>
          <w:rFonts w:hint="eastAsia"/>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4A3B7E" w:rsidRDefault="00452DEF">
      <w:pPr>
        <w:pStyle w:val="a3"/>
        <w:spacing w:before="0" w:beforeAutospacing="0" w:after="0" w:afterAutospacing="0" w:line="400" w:lineRule="atLeast"/>
        <w:ind w:firstLine="360"/>
        <w:divId w:val="1582324949"/>
      </w:pPr>
      <w:r>
        <w:rPr>
          <w:rFonts w:hint="eastAsia"/>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w:t>
      </w:r>
      <w:r>
        <w:rPr>
          <w:rFonts w:hint="eastAsia"/>
          <w:sz w:val="18"/>
          <w:szCs w:val="18"/>
        </w:rPr>
        <w:lastRenderedPageBreak/>
        <w:t>基础进行会计处理，并按比例结转当期损益；因采用权益法核算而确认的被投资单位净资产中除净损益、其他综合收益和利润分配以外的其他所有者权益变动按比例结转当期损益。</w:t>
      </w:r>
    </w:p>
    <w:p w:rsidR="004A3B7E" w:rsidRDefault="00452DEF">
      <w:pPr>
        <w:pStyle w:val="a3"/>
        <w:spacing w:before="0" w:beforeAutospacing="0" w:after="0" w:afterAutospacing="0" w:line="400" w:lineRule="atLeast"/>
        <w:ind w:firstLine="360"/>
        <w:divId w:val="1582324949"/>
      </w:pPr>
      <w:r>
        <w:rPr>
          <w:rFonts w:hint="eastAsia"/>
          <w:sz w:val="18"/>
          <w:szCs w:val="18"/>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rsidR="004A3B7E" w:rsidRDefault="00452DEF">
      <w:pPr>
        <w:pStyle w:val="a3"/>
        <w:spacing w:before="0" w:beforeAutospacing="0" w:after="0" w:afterAutospacing="0" w:line="400" w:lineRule="atLeast"/>
        <w:ind w:firstLine="360"/>
        <w:divId w:val="1582324949"/>
      </w:pPr>
      <w:r>
        <w:rPr>
          <w:rFonts w:hint="eastAsia"/>
          <w:sz w:val="18"/>
          <w:szCs w:val="18"/>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rsidR="004A3B7E" w:rsidRDefault="00452DEF">
      <w:pPr>
        <w:pStyle w:val="a3"/>
        <w:spacing w:before="0" w:beforeAutospacing="0" w:after="0" w:afterAutospacing="0" w:line="400" w:lineRule="atLeast"/>
        <w:ind w:firstLine="360"/>
        <w:divId w:val="1582324949"/>
      </w:pPr>
      <w:r>
        <w:rPr>
          <w:rFonts w:hint="eastAsia"/>
          <w:sz w:val="18"/>
          <w:szCs w:val="18"/>
        </w:rPr>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rsidR="00BD1BB9" w:rsidRDefault="00452DEF">
      <w:pPr>
        <w:pStyle w:val="3"/>
        <w:spacing w:line="280" w:lineRule="exact"/>
        <w:jc w:val="left"/>
        <w:rPr>
          <w:rFonts w:ascii="宋体" w:hAnsi="宋体" w:cs="宋体"/>
          <w:b/>
          <w:bCs/>
        </w:rPr>
      </w:pPr>
      <w:bookmarkStart w:id="135" w:name="_Toc989005"/>
      <w:r>
        <w:rPr>
          <w:rFonts w:ascii="宋体" w:hAnsi="宋体" w:cs="宋体"/>
          <w:b/>
          <w:bCs/>
        </w:rPr>
        <w:t>15、固定资产</w:t>
      </w:r>
      <w:bookmarkEnd w:id="135"/>
    </w:p>
    <w:p w:rsidR="00BD1BB9" w:rsidRDefault="00452DEF">
      <w:pPr>
        <w:keepNext/>
        <w:keepLines/>
        <w:spacing w:before="300" w:after="300" w:line="280" w:lineRule="exact"/>
        <w:outlineLvl w:val="3"/>
        <w:rPr>
          <w:rFonts w:ascii="宋体" w:eastAsia="宋体" w:hAnsi="宋体" w:cs="宋体"/>
          <w:b/>
          <w:bCs/>
          <w:szCs w:val="21"/>
        </w:rPr>
      </w:pPr>
      <w:bookmarkStart w:id="136" w:name="_Toc989006"/>
      <w:r>
        <w:rPr>
          <w:rFonts w:ascii="宋体" w:eastAsia="宋体" w:hAnsi="宋体" w:cs="宋体"/>
          <w:b/>
          <w:bCs/>
          <w:szCs w:val="21"/>
        </w:rPr>
        <w:t>（1） 确认条件</w:t>
      </w:r>
      <w:bookmarkEnd w:id="136"/>
    </w:p>
    <w:p w:rsidR="004A3B7E" w:rsidRDefault="00452DEF">
      <w:pPr>
        <w:pStyle w:val="a3"/>
        <w:spacing w:line="240" w:lineRule="atLeast"/>
        <w:divId w:val="1888757651"/>
        <w:rPr>
          <w:sz w:val="18"/>
          <w:szCs w:val="18"/>
        </w:rPr>
      </w:pPr>
      <w:r>
        <w:rPr>
          <w:rFonts w:hint="eastAsia"/>
          <w:sz w:val="18"/>
          <w:szCs w:val="18"/>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BD1BB9" w:rsidRDefault="00452DEF">
      <w:pPr>
        <w:keepNext/>
        <w:keepLines/>
        <w:spacing w:before="300" w:after="300" w:line="280" w:lineRule="exact"/>
        <w:outlineLvl w:val="3"/>
        <w:rPr>
          <w:rFonts w:ascii="宋体" w:eastAsia="宋体" w:hAnsi="宋体" w:cs="宋体"/>
          <w:b/>
          <w:bCs/>
          <w:szCs w:val="21"/>
        </w:rPr>
      </w:pPr>
      <w:bookmarkStart w:id="137" w:name="_Toc989007"/>
      <w:r>
        <w:rPr>
          <w:rFonts w:ascii="宋体" w:eastAsia="宋体" w:hAnsi="宋体" w:cs="宋体"/>
          <w:b/>
          <w:bCs/>
          <w:szCs w:val="21"/>
        </w:rPr>
        <w:t>（2） 折旧方法</w:t>
      </w:r>
      <w:bookmarkEnd w:id="137"/>
    </w:p>
    <w:p w:rsidR="00BD1BB9" w:rsidRDefault="00BD1BB9">
      <w:pPr>
        <w:spacing w:line="0" w:lineRule="atLeast"/>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年折旧率</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20年-30年</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4.85%-3.23%</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10年-12年</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9.70%-8.08%</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5年-8年</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19.40%-12.13%</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其它设备</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5年</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19.40%</w:t>
            </w:r>
          </w:p>
        </w:tc>
      </w:tr>
    </w:tbl>
    <w:p w:rsidR="004A3B7E" w:rsidRDefault="00452DEF">
      <w:pPr>
        <w:pStyle w:val="a3"/>
        <w:spacing w:before="0" w:beforeAutospacing="0" w:after="0" w:afterAutospacing="0" w:line="400" w:lineRule="atLeast"/>
        <w:ind w:firstLine="360"/>
        <w:divId w:val="1303268168"/>
      </w:pPr>
      <w:r>
        <w:rPr>
          <w:rFonts w:hint="eastAsia"/>
          <w:sz w:val="18"/>
          <w:szCs w:val="18"/>
        </w:rPr>
        <w:t>（3）固定资产从达到预定可使用状态的次月起，采用年限平均法在使用寿命内计提折旧。</w:t>
      </w:r>
    </w:p>
    <w:p w:rsidR="004A3B7E" w:rsidRDefault="00452DEF">
      <w:pPr>
        <w:pStyle w:val="a3"/>
        <w:spacing w:before="0" w:beforeAutospacing="0" w:after="0" w:afterAutospacing="0" w:line="400" w:lineRule="atLeast"/>
        <w:ind w:firstLine="360"/>
        <w:divId w:val="1303268168"/>
      </w:pPr>
      <w:r>
        <w:rPr>
          <w:rFonts w:hint="eastAsia"/>
          <w:sz w:val="18"/>
          <w:szCs w:val="18"/>
        </w:rPr>
        <w:t>（4）预计净残值是指假定固定资产预计使用寿命已满并处于使用寿命终了时的预期状态，本公司目前从该项资产处置中获得的扣除预计处置费用后的金额。</w:t>
      </w:r>
    </w:p>
    <w:p w:rsidR="004A3B7E" w:rsidRDefault="00452DEF">
      <w:pPr>
        <w:pStyle w:val="a3"/>
        <w:spacing w:before="0" w:beforeAutospacing="0" w:after="0" w:afterAutospacing="0" w:line="400" w:lineRule="atLeast"/>
        <w:ind w:firstLine="360"/>
        <w:divId w:val="1303268168"/>
      </w:pPr>
      <w:r>
        <w:rPr>
          <w:rFonts w:hint="eastAsia"/>
          <w:sz w:val="18"/>
          <w:szCs w:val="18"/>
        </w:rPr>
        <w:lastRenderedPageBreak/>
        <w:t>（5）固定资产的减值测试方法及减值准备计提方法</w:t>
      </w:r>
    </w:p>
    <w:p w:rsidR="004A3B7E" w:rsidRDefault="00452DEF">
      <w:pPr>
        <w:pStyle w:val="a3"/>
        <w:spacing w:before="0" w:beforeAutospacing="0" w:after="0" w:afterAutospacing="0" w:line="400" w:lineRule="atLeast"/>
        <w:ind w:firstLine="360"/>
        <w:divId w:val="1303268168"/>
      </w:pPr>
      <w:r>
        <w:rPr>
          <w:rFonts w:hint="eastAsia"/>
          <w:sz w:val="18"/>
          <w:szCs w:val="18"/>
        </w:rPr>
        <w:t>固定资产的减值测试方法和减值准备计提方法详</w:t>
      </w:r>
      <w:r>
        <w:rPr>
          <w:rFonts w:hint="eastAsia"/>
          <w:sz w:val="18"/>
          <w:szCs w:val="18"/>
          <w:shd w:val="clear" w:color="auto" w:fill="FFFFFF"/>
        </w:rPr>
        <w:t>见附注五、19“长期资产减值”。</w:t>
      </w:r>
    </w:p>
    <w:p w:rsidR="004A3B7E" w:rsidRDefault="00452DEF">
      <w:pPr>
        <w:pStyle w:val="a3"/>
        <w:spacing w:before="0" w:beforeAutospacing="0" w:after="0" w:afterAutospacing="0" w:line="400" w:lineRule="atLeast"/>
        <w:ind w:firstLine="360"/>
        <w:divId w:val="1303268168"/>
      </w:pPr>
      <w:r>
        <w:rPr>
          <w:rFonts w:hint="eastAsia"/>
          <w:sz w:val="18"/>
          <w:szCs w:val="18"/>
        </w:rPr>
        <w:t>（6）其他说明</w:t>
      </w:r>
    </w:p>
    <w:p w:rsidR="004A3B7E" w:rsidRDefault="00452DEF">
      <w:pPr>
        <w:pStyle w:val="a3"/>
        <w:spacing w:before="0" w:beforeAutospacing="0" w:after="0" w:afterAutospacing="0" w:line="400" w:lineRule="atLeast"/>
        <w:ind w:firstLine="360"/>
        <w:divId w:val="1303268168"/>
      </w:pPr>
      <w:r>
        <w:rPr>
          <w:rFonts w:hint="eastAsia"/>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rsidR="004A3B7E" w:rsidRDefault="00452DEF">
      <w:pPr>
        <w:pStyle w:val="a3"/>
        <w:spacing w:before="0" w:beforeAutospacing="0" w:after="0" w:afterAutospacing="0" w:line="400" w:lineRule="atLeast"/>
        <w:ind w:firstLine="360"/>
        <w:divId w:val="1303268168"/>
      </w:pPr>
      <w:r>
        <w:rPr>
          <w:rFonts w:hint="eastAsia"/>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rsidR="004A3B7E" w:rsidRDefault="00452DEF">
      <w:pPr>
        <w:pStyle w:val="a3"/>
        <w:spacing w:before="0" w:beforeAutospacing="0" w:after="0" w:afterAutospacing="0" w:line="400" w:lineRule="atLeast"/>
        <w:ind w:firstLine="360"/>
        <w:divId w:val="1303268168"/>
      </w:pPr>
      <w:r>
        <w:rPr>
          <w:rFonts w:hint="eastAsia"/>
          <w:sz w:val="18"/>
          <w:szCs w:val="18"/>
        </w:rPr>
        <w:t>本公司至少于年度终了对固定资产的使用寿命、预计净残值和折旧方法进行复核，如发生改变则作为会计估计变更处理。</w:t>
      </w:r>
    </w:p>
    <w:p w:rsidR="00BD1BB9" w:rsidRDefault="00452DEF">
      <w:pPr>
        <w:pStyle w:val="3"/>
        <w:spacing w:line="280" w:lineRule="exact"/>
        <w:jc w:val="left"/>
        <w:rPr>
          <w:rFonts w:ascii="宋体" w:hAnsi="宋体" w:cs="宋体"/>
          <w:b/>
          <w:bCs/>
        </w:rPr>
      </w:pPr>
      <w:bookmarkStart w:id="138" w:name="_Toc989008"/>
      <w:r>
        <w:rPr>
          <w:rFonts w:ascii="宋体" w:hAnsi="宋体" w:cs="宋体"/>
          <w:b/>
          <w:bCs/>
        </w:rPr>
        <w:t>16、在建工程</w:t>
      </w:r>
      <w:bookmarkEnd w:id="138"/>
    </w:p>
    <w:p w:rsidR="004A3B7E" w:rsidRDefault="00452DEF">
      <w:pPr>
        <w:pStyle w:val="a3"/>
        <w:spacing w:before="0" w:beforeAutospacing="0" w:after="0" w:afterAutospacing="0" w:line="400" w:lineRule="atLeast"/>
        <w:ind w:firstLine="360"/>
        <w:divId w:val="1297878883"/>
      </w:pPr>
      <w:r>
        <w:rPr>
          <w:rFonts w:hint="eastAsia"/>
          <w:sz w:val="18"/>
          <w:szCs w:val="18"/>
        </w:rPr>
        <w:t>本公司在建工程分为自营方式建造和出包方式建造两种。在建工程在工程完工达到预定可使用状态时，结转固定资产。预定可使用状态的判断标准，应符合下列情况之一：固定资产的实体建造（包括安装）工作已经全部完成或实质上已经全部完成；已经试生产或试运行，并且其结果表明资产能够正常运行或能够稳定地生产出合格产品，或者试运行结果表明其能够正常运转或营业；该项建造的固定资产上的支出金额很少或者几乎不再发生；所购建的固定资产已经达到设计或合同要求，或与设计或合同要求基本相符。</w:t>
      </w:r>
    </w:p>
    <w:p w:rsidR="004A3B7E" w:rsidRDefault="00452DEF">
      <w:pPr>
        <w:pStyle w:val="a3"/>
        <w:spacing w:before="0" w:beforeAutospacing="0" w:after="0" w:afterAutospacing="0" w:line="400" w:lineRule="atLeast"/>
        <w:ind w:firstLine="360"/>
        <w:divId w:val="1297878883"/>
      </w:pPr>
      <w:r>
        <w:rPr>
          <w:rFonts w:hint="eastAsia"/>
          <w:sz w:val="18"/>
          <w:szCs w:val="18"/>
        </w:rPr>
        <w:t>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p w:rsidR="004A3B7E" w:rsidRDefault="00452DEF">
      <w:pPr>
        <w:pStyle w:val="a3"/>
        <w:spacing w:before="0" w:beforeAutospacing="0" w:after="0" w:afterAutospacing="0" w:line="400" w:lineRule="atLeast"/>
        <w:ind w:firstLine="360"/>
        <w:jc w:val="both"/>
        <w:divId w:val="1297878883"/>
      </w:pPr>
      <w:r>
        <w:rPr>
          <w:rFonts w:hint="eastAsia"/>
          <w:sz w:val="18"/>
          <w:szCs w:val="18"/>
        </w:rPr>
        <w:t>在建工程的减值测试方法和减值准备计提方法详</w:t>
      </w:r>
      <w:r>
        <w:rPr>
          <w:rFonts w:hint="eastAsia"/>
          <w:sz w:val="18"/>
          <w:szCs w:val="18"/>
          <w:shd w:val="clear" w:color="auto" w:fill="FFFFFF"/>
        </w:rPr>
        <w:t>见附注五、19“长期资产减值”。</w:t>
      </w:r>
    </w:p>
    <w:p w:rsidR="00BD1BB9" w:rsidRDefault="00452DEF">
      <w:pPr>
        <w:pStyle w:val="3"/>
        <w:spacing w:line="280" w:lineRule="exact"/>
        <w:jc w:val="left"/>
        <w:rPr>
          <w:rFonts w:ascii="宋体" w:hAnsi="宋体" w:cs="宋体"/>
          <w:b/>
          <w:bCs/>
        </w:rPr>
      </w:pPr>
      <w:bookmarkStart w:id="139" w:name="_Toc989009"/>
      <w:r>
        <w:rPr>
          <w:rFonts w:ascii="宋体" w:hAnsi="宋体" w:cs="宋体"/>
          <w:b/>
          <w:bCs/>
        </w:rPr>
        <w:t>17、借款费用</w:t>
      </w:r>
      <w:bookmarkEnd w:id="139"/>
    </w:p>
    <w:p w:rsidR="004A3B7E" w:rsidRDefault="00452DEF">
      <w:pPr>
        <w:pStyle w:val="a3"/>
        <w:spacing w:before="0" w:beforeAutospacing="0" w:after="0" w:afterAutospacing="0" w:line="400" w:lineRule="atLeast"/>
        <w:ind w:firstLine="360"/>
        <w:divId w:val="1369448641"/>
      </w:pPr>
      <w:r>
        <w:rPr>
          <w:rFonts w:hint="eastAsia"/>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w:t>
      </w:r>
      <w:r w:rsidR="005F4C51">
        <w:rPr>
          <w:rFonts w:hint="eastAsia"/>
          <w:sz w:val="18"/>
          <w:szCs w:val="18"/>
        </w:rPr>
        <w:t>购</w:t>
      </w:r>
      <w:r>
        <w:rPr>
          <w:rFonts w:hint="eastAsia"/>
          <w:sz w:val="18"/>
          <w:szCs w:val="18"/>
        </w:rPr>
        <w:t>建或者生产的符合资本化条件的资产达到预定可使用状态或者可销售状态时，停止资本化。其余借款费用在发生当期确认为费用。</w:t>
      </w:r>
    </w:p>
    <w:p w:rsidR="004A3B7E" w:rsidRDefault="00452DEF">
      <w:pPr>
        <w:pStyle w:val="a3"/>
        <w:spacing w:before="0" w:beforeAutospacing="0" w:after="0" w:afterAutospacing="0" w:line="400" w:lineRule="atLeast"/>
        <w:ind w:firstLine="360"/>
        <w:divId w:val="1369448641"/>
      </w:pPr>
      <w:r>
        <w:rPr>
          <w:rFonts w:hint="eastAsia"/>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4A3B7E" w:rsidRDefault="00452DEF">
      <w:pPr>
        <w:pStyle w:val="a3"/>
        <w:spacing w:before="0" w:beforeAutospacing="0" w:after="0" w:afterAutospacing="0" w:line="400" w:lineRule="atLeast"/>
        <w:ind w:firstLine="360"/>
        <w:divId w:val="1369448641"/>
      </w:pPr>
      <w:r>
        <w:rPr>
          <w:rFonts w:hint="eastAsia"/>
          <w:sz w:val="18"/>
          <w:szCs w:val="18"/>
        </w:rPr>
        <w:t>资本化期间内，外币专门借款的汇兑差额全部予以资本化；外币一般借款的汇兑差额计入当期损益。</w:t>
      </w:r>
    </w:p>
    <w:p w:rsidR="004A3B7E" w:rsidRDefault="00452DEF">
      <w:pPr>
        <w:pStyle w:val="a3"/>
        <w:spacing w:before="0" w:beforeAutospacing="0" w:after="0" w:afterAutospacing="0" w:line="400" w:lineRule="atLeast"/>
        <w:ind w:firstLine="360"/>
        <w:divId w:val="1369448641"/>
      </w:pPr>
      <w:r>
        <w:rPr>
          <w:rFonts w:hint="eastAsia"/>
          <w:sz w:val="18"/>
          <w:szCs w:val="18"/>
        </w:rPr>
        <w:t>符合资本化条件的资产指需要经过相当长时间的购建或者生产活动才能达到预定可使用或可销售状态的固定资产、投资性房地产和存货等资产。</w:t>
      </w:r>
    </w:p>
    <w:p w:rsidR="004A3B7E" w:rsidRDefault="00452DEF">
      <w:pPr>
        <w:pStyle w:val="a3"/>
        <w:spacing w:before="0" w:beforeAutospacing="0" w:after="0" w:afterAutospacing="0" w:line="400" w:lineRule="atLeast"/>
        <w:ind w:firstLine="360"/>
        <w:jc w:val="both"/>
        <w:divId w:val="1369448641"/>
      </w:pPr>
      <w:r>
        <w:rPr>
          <w:rFonts w:hint="eastAsia"/>
          <w:sz w:val="18"/>
          <w:szCs w:val="18"/>
        </w:rPr>
        <w:t>如果符合资本化条件的资产在购建或生产过程中发生非正常中断、并且中断时间连续超过3个月的，暂停借款费用的资本化，直至资产的购建或生产活动重新开始。</w:t>
      </w:r>
    </w:p>
    <w:p w:rsidR="004A3B7E" w:rsidRDefault="00452DEF">
      <w:pPr>
        <w:pStyle w:val="a3"/>
        <w:spacing w:before="0" w:beforeAutospacing="0" w:after="0" w:afterAutospacing="0" w:line="400" w:lineRule="atLeast"/>
        <w:ind w:firstLine="360"/>
        <w:jc w:val="both"/>
        <w:divId w:val="1369448641"/>
      </w:pPr>
      <w:r>
        <w:rPr>
          <w:rFonts w:hint="eastAsia"/>
          <w:sz w:val="18"/>
          <w:szCs w:val="18"/>
        </w:rPr>
        <w:lastRenderedPageBreak/>
        <w:t>符合资本化条件的资产，是指需要经过相当长时间的购建或者生产活动才能达到预定可使用或者可销售状态的固定资产、投资性房地产和存货等资产。</w:t>
      </w:r>
    </w:p>
    <w:p w:rsidR="00BD1BB9" w:rsidRDefault="00452DEF">
      <w:pPr>
        <w:pStyle w:val="3"/>
        <w:spacing w:line="280" w:lineRule="exact"/>
        <w:jc w:val="left"/>
        <w:rPr>
          <w:rFonts w:ascii="宋体" w:hAnsi="宋体" w:cs="宋体"/>
          <w:b/>
          <w:bCs/>
        </w:rPr>
      </w:pPr>
      <w:bookmarkStart w:id="140" w:name="_Toc989010"/>
      <w:r>
        <w:rPr>
          <w:rFonts w:ascii="宋体" w:hAnsi="宋体" w:cs="宋体"/>
          <w:b/>
          <w:bCs/>
        </w:rPr>
        <w:t>18、无形资产</w:t>
      </w:r>
      <w:bookmarkEnd w:id="140"/>
    </w:p>
    <w:p w:rsidR="00BD1BB9" w:rsidRDefault="00452DEF">
      <w:pPr>
        <w:keepNext/>
        <w:keepLines/>
        <w:spacing w:before="300" w:after="300" w:line="280" w:lineRule="exact"/>
        <w:outlineLvl w:val="3"/>
        <w:rPr>
          <w:rFonts w:ascii="宋体" w:eastAsia="宋体" w:hAnsi="宋体" w:cs="宋体"/>
          <w:b/>
          <w:bCs/>
          <w:szCs w:val="21"/>
        </w:rPr>
      </w:pPr>
      <w:bookmarkStart w:id="141" w:name="_Toc989011"/>
      <w:r>
        <w:rPr>
          <w:rFonts w:ascii="宋体" w:eastAsia="宋体" w:hAnsi="宋体" w:cs="宋体"/>
          <w:b/>
          <w:bCs/>
          <w:szCs w:val="21"/>
        </w:rPr>
        <w:t>（1） 使用寿命及其确定依据、估计情况、摊销方法或复核程序</w:t>
      </w:r>
      <w:bookmarkEnd w:id="141"/>
    </w:p>
    <w:p w:rsidR="004A3B7E" w:rsidRDefault="00452DEF">
      <w:pPr>
        <w:pStyle w:val="a3"/>
        <w:spacing w:before="0" w:beforeAutospacing="0" w:after="0" w:afterAutospacing="0" w:line="400" w:lineRule="atLeast"/>
        <w:ind w:firstLine="360"/>
        <w:divId w:val="1922908391"/>
      </w:pPr>
      <w:r>
        <w:rPr>
          <w:rFonts w:hint="eastAsia"/>
          <w:sz w:val="18"/>
          <w:szCs w:val="18"/>
        </w:rPr>
        <w:t>无形资产是指本公司拥有或者控制的没有实物形态的可辨认非货币性资产。</w:t>
      </w:r>
    </w:p>
    <w:p w:rsidR="004A3B7E" w:rsidRDefault="00452DEF">
      <w:pPr>
        <w:pStyle w:val="a3"/>
        <w:spacing w:before="0" w:beforeAutospacing="0" w:after="0" w:afterAutospacing="0" w:line="400" w:lineRule="atLeast"/>
        <w:ind w:firstLine="360"/>
        <w:divId w:val="1922908391"/>
      </w:pPr>
      <w:r>
        <w:rPr>
          <w:rFonts w:hint="eastAsia"/>
          <w:sz w:val="18"/>
          <w:szCs w:val="18"/>
        </w:rPr>
        <w:t>无形资产按成本进行初始计量。与无形资产有关的支出，如果相关的经济利益很可能流入本公司且其成本能可靠地计量，则计入无形资产成本。除此以外的其他项目的支出，在发生时计入当期损益。</w:t>
      </w:r>
    </w:p>
    <w:p w:rsidR="004A3B7E" w:rsidRDefault="00452DEF">
      <w:pPr>
        <w:pStyle w:val="a3"/>
        <w:spacing w:before="0" w:beforeAutospacing="0" w:after="0" w:afterAutospacing="0" w:line="400" w:lineRule="atLeast"/>
        <w:ind w:firstLine="360"/>
        <w:divId w:val="1922908391"/>
      </w:pPr>
      <w:r>
        <w:rPr>
          <w:rFonts w:hint="eastAsia"/>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4A3B7E" w:rsidRDefault="00452DEF">
      <w:pPr>
        <w:pStyle w:val="a3"/>
        <w:spacing w:before="0" w:beforeAutospacing="0" w:after="0" w:afterAutospacing="0" w:line="400" w:lineRule="atLeast"/>
        <w:ind w:firstLine="360"/>
        <w:divId w:val="1922908391"/>
      </w:pPr>
      <w:r>
        <w:rPr>
          <w:rFonts w:hint="eastAsia"/>
          <w:sz w:val="18"/>
          <w:szCs w:val="18"/>
        </w:rPr>
        <w:t>使用寿命有限的无形资产自可供使用时起，对其原值减去预计净残值和已计提的减值准备累计金额在其预计使用寿命内采用直线法分期平均摊销。使用寿命不确定的无形资产不予摊销。</w:t>
      </w:r>
    </w:p>
    <w:p w:rsidR="004A3B7E" w:rsidRDefault="00452DEF">
      <w:pPr>
        <w:pStyle w:val="a3"/>
        <w:spacing w:before="0" w:beforeAutospacing="0" w:after="0" w:afterAutospacing="0" w:line="400" w:lineRule="atLeast"/>
        <w:ind w:firstLine="360"/>
        <w:jc w:val="both"/>
        <w:divId w:val="1922908391"/>
      </w:pPr>
      <w:r>
        <w:rPr>
          <w:rFonts w:hint="eastAsia"/>
          <w:sz w:val="18"/>
          <w:szCs w:val="18"/>
        </w:rPr>
        <w:t>有限使用寿命的无形资产项目的使用寿命、确定依据及摊销方法如下：</w:t>
      </w:r>
    </w:p>
    <w:tbl>
      <w:tblPr>
        <w:tblW w:w="4992" w:type="pct"/>
        <w:tblCellMar>
          <w:left w:w="0" w:type="dxa"/>
          <w:right w:w="0" w:type="dxa"/>
        </w:tblCellMar>
        <w:tblLook w:val="04A0" w:firstRow="1" w:lastRow="0" w:firstColumn="1" w:lastColumn="0" w:noHBand="0" w:noVBand="1"/>
      </w:tblPr>
      <w:tblGrid>
        <w:gridCol w:w="2151"/>
        <w:gridCol w:w="4702"/>
        <w:gridCol w:w="2824"/>
      </w:tblGrid>
      <w:tr w:rsidR="004A3B7E">
        <w:trPr>
          <w:divId w:val="1922908391"/>
          <w:trHeight w:val="330"/>
          <w:tblHeader/>
        </w:trPr>
        <w:tc>
          <w:tcPr>
            <w:tcW w:w="111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pPr>
            <w:r>
              <w:rPr>
                <w:rFonts w:hint="eastAsia"/>
                <w:sz w:val="18"/>
                <w:szCs w:val="18"/>
              </w:rPr>
              <w:t>项  目</w:t>
            </w:r>
          </w:p>
        </w:tc>
        <w:tc>
          <w:tcPr>
            <w:tcW w:w="242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pPr>
            <w:r>
              <w:rPr>
                <w:rFonts w:hint="eastAsia"/>
                <w:sz w:val="18"/>
                <w:szCs w:val="18"/>
              </w:rPr>
              <w:t>使用寿命</w:t>
            </w:r>
          </w:p>
        </w:tc>
        <w:tc>
          <w:tcPr>
            <w:tcW w:w="145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pPr>
            <w:r>
              <w:rPr>
                <w:rFonts w:hint="eastAsia"/>
                <w:sz w:val="18"/>
                <w:szCs w:val="18"/>
              </w:rPr>
              <w:t>摊销方法</w:t>
            </w:r>
          </w:p>
        </w:tc>
      </w:tr>
      <w:tr w:rsidR="004A3B7E">
        <w:trPr>
          <w:divId w:val="1922908391"/>
          <w:trHeight w:val="330"/>
        </w:trPr>
        <w:tc>
          <w:tcPr>
            <w:tcW w:w="111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pPr>
            <w:r>
              <w:rPr>
                <w:rFonts w:hint="eastAsia"/>
                <w:sz w:val="18"/>
                <w:szCs w:val="18"/>
              </w:rPr>
              <w:t>土地使用权</w:t>
            </w:r>
          </w:p>
        </w:tc>
        <w:tc>
          <w:tcPr>
            <w:tcW w:w="242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pPr>
            <w:r>
              <w:rPr>
                <w:rFonts w:hint="eastAsia"/>
                <w:sz w:val="18"/>
                <w:szCs w:val="18"/>
              </w:rPr>
              <w:t>受益年限</w:t>
            </w:r>
          </w:p>
        </w:tc>
        <w:tc>
          <w:tcPr>
            <w:tcW w:w="145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pPr>
            <w:r>
              <w:rPr>
                <w:rFonts w:hint="eastAsia"/>
                <w:sz w:val="18"/>
                <w:szCs w:val="18"/>
              </w:rPr>
              <w:t>年限平均法</w:t>
            </w:r>
          </w:p>
        </w:tc>
      </w:tr>
      <w:tr w:rsidR="004A3B7E">
        <w:trPr>
          <w:divId w:val="1922908391"/>
          <w:trHeight w:val="330"/>
        </w:trPr>
        <w:tc>
          <w:tcPr>
            <w:tcW w:w="111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pPr>
            <w:r>
              <w:rPr>
                <w:rFonts w:hint="eastAsia"/>
                <w:sz w:val="18"/>
                <w:szCs w:val="18"/>
              </w:rPr>
              <w:t>软件使用权</w:t>
            </w:r>
          </w:p>
        </w:tc>
        <w:tc>
          <w:tcPr>
            <w:tcW w:w="242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pPr>
            <w:r>
              <w:rPr>
                <w:rFonts w:hint="eastAsia"/>
                <w:sz w:val="18"/>
                <w:szCs w:val="18"/>
              </w:rPr>
              <w:t>合同规定年限或收益年限（未规定按3或5年）</w:t>
            </w:r>
          </w:p>
        </w:tc>
        <w:tc>
          <w:tcPr>
            <w:tcW w:w="145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pPr>
            <w:r>
              <w:rPr>
                <w:rFonts w:hint="eastAsia"/>
                <w:sz w:val="18"/>
                <w:szCs w:val="18"/>
              </w:rPr>
              <w:t>年限平均法</w:t>
            </w:r>
          </w:p>
        </w:tc>
      </w:tr>
      <w:tr w:rsidR="004A3B7E">
        <w:trPr>
          <w:divId w:val="1922908391"/>
          <w:trHeight w:val="330"/>
        </w:trPr>
        <w:tc>
          <w:tcPr>
            <w:tcW w:w="111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both"/>
            </w:pPr>
            <w:r>
              <w:rPr>
                <w:rFonts w:hint="eastAsia"/>
                <w:sz w:val="18"/>
                <w:szCs w:val="18"/>
              </w:rPr>
              <w:t>其他无形资产</w:t>
            </w:r>
          </w:p>
        </w:tc>
        <w:tc>
          <w:tcPr>
            <w:tcW w:w="242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pPr>
            <w:r>
              <w:rPr>
                <w:rFonts w:hint="eastAsia"/>
                <w:sz w:val="18"/>
                <w:szCs w:val="18"/>
              </w:rPr>
              <w:t>合同规定年限或收益年限（未规定按10年）</w:t>
            </w:r>
          </w:p>
        </w:tc>
        <w:tc>
          <w:tcPr>
            <w:tcW w:w="145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pPr>
            <w:r>
              <w:rPr>
                <w:rFonts w:hint="eastAsia"/>
                <w:sz w:val="18"/>
                <w:szCs w:val="18"/>
              </w:rPr>
              <w:t>年限平均法</w:t>
            </w:r>
          </w:p>
        </w:tc>
      </w:tr>
    </w:tbl>
    <w:p w:rsidR="004A3B7E" w:rsidRDefault="00452DEF">
      <w:pPr>
        <w:pStyle w:val="a3"/>
        <w:spacing w:before="0" w:beforeAutospacing="0" w:after="0" w:afterAutospacing="0" w:line="400" w:lineRule="atLeast"/>
        <w:ind w:firstLine="360"/>
        <w:divId w:val="1922908391"/>
      </w:pPr>
      <w:r>
        <w:rPr>
          <w:rFonts w:hint="eastAsia"/>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BD1BB9" w:rsidRDefault="00452DEF">
      <w:pPr>
        <w:keepNext/>
        <w:keepLines/>
        <w:spacing w:before="300" w:after="300" w:line="280" w:lineRule="exact"/>
        <w:outlineLvl w:val="3"/>
        <w:rPr>
          <w:rFonts w:ascii="宋体" w:eastAsia="宋体" w:hAnsi="宋体" w:cs="宋体"/>
          <w:b/>
          <w:bCs/>
          <w:szCs w:val="21"/>
        </w:rPr>
      </w:pPr>
      <w:bookmarkStart w:id="142" w:name="_Toc989012"/>
      <w:r>
        <w:rPr>
          <w:rFonts w:ascii="宋体" w:eastAsia="宋体" w:hAnsi="宋体" w:cs="宋体"/>
          <w:b/>
          <w:bCs/>
          <w:szCs w:val="21"/>
        </w:rPr>
        <w:t>（2） 研发支出的归集范围及相关会计处理方法</w:t>
      </w:r>
      <w:bookmarkEnd w:id="142"/>
    </w:p>
    <w:p w:rsidR="004A3B7E" w:rsidRDefault="00452DEF">
      <w:pPr>
        <w:pStyle w:val="a3"/>
        <w:spacing w:before="0" w:beforeAutospacing="0" w:after="0" w:afterAutospacing="0"/>
        <w:ind w:firstLine="363"/>
        <w:divId w:val="1769542156"/>
      </w:pPr>
      <w:r>
        <w:rPr>
          <w:rFonts w:hint="eastAsia"/>
          <w:sz w:val="18"/>
          <w:szCs w:val="18"/>
        </w:rPr>
        <w:t>本公司内部研究开发项目的支出分为研究阶段支出与开发阶段支出。</w:t>
      </w:r>
    </w:p>
    <w:p w:rsidR="004A3B7E" w:rsidRDefault="00452DEF">
      <w:pPr>
        <w:pStyle w:val="a3"/>
        <w:spacing w:before="0" w:beforeAutospacing="0" w:after="0" w:afterAutospacing="0" w:line="400" w:lineRule="atLeast"/>
        <w:ind w:firstLine="360"/>
        <w:divId w:val="1769542156"/>
      </w:pPr>
      <w:r>
        <w:rPr>
          <w:rFonts w:hint="eastAsia"/>
          <w:sz w:val="18"/>
          <w:szCs w:val="18"/>
        </w:rPr>
        <w:t>研究阶段的支出，于发生时计入当期损益。</w:t>
      </w:r>
    </w:p>
    <w:p w:rsidR="004A3B7E" w:rsidRDefault="00452DEF">
      <w:pPr>
        <w:pStyle w:val="a3"/>
        <w:spacing w:before="0" w:beforeAutospacing="0" w:after="0" w:afterAutospacing="0" w:line="400" w:lineRule="atLeast"/>
        <w:ind w:firstLine="360"/>
        <w:divId w:val="1769542156"/>
      </w:pPr>
      <w:r>
        <w:rPr>
          <w:rFonts w:hint="eastAsia"/>
          <w:sz w:val="18"/>
          <w:szCs w:val="18"/>
        </w:rPr>
        <w:t>本公司研发支出归集范围包括研发领用的材料、人工及劳务成本、研发设备摊销、在开发过程中使用的其他无形资产及固定资产的摊销、水电等费用。</w:t>
      </w:r>
    </w:p>
    <w:p w:rsidR="004A3B7E" w:rsidRDefault="00452DEF">
      <w:pPr>
        <w:pStyle w:val="a3"/>
        <w:spacing w:before="0" w:beforeAutospacing="0" w:after="0" w:afterAutospacing="0" w:line="400" w:lineRule="atLeast"/>
        <w:ind w:firstLine="360"/>
        <w:divId w:val="1769542156"/>
      </w:pPr>
      <w:r>
        <w:rPr>
          <w:rFonts w:hint="eastAsia"/>
          <w:sz w:val="18"/>
          <w:szCs w:val="18"/>
        </w:rPr>
        <w:t>本公司划分内部研究开发项目研究阶段支出和开发阶段支出的具体标准：</w:t>
      </w:r>
    </w:p>
    <w:p w:rsidR="004A3B7E" w:rsidRDefault="00452DEF">
      <w:pPr>
        <w:pStyle w:val="a3"/>
        <w:spacing w:before="0" w:beforeAutospacing="0" w:after="0" w:afterAutospacing="0" w:line="400" w:lineRule="atLeast"/>
        <w:ind w:firstLine="360"/>
        <w:divId w:val="1769542156"/>
      </w:pPr>
      <w:r>
        <w:rPr>
          <w:rFonts w:hint="eastAsia"/>
          <w:sz w:val="18"/>
          <w:szCs w:val="18"/>
        </w:rPr>
        <w:t>研究阶段为获取并理解新的科学或技术知识等而进行的独创性的有计划调查、研究活动的阶段；开发阶段为在进行商业性生产或使用前，将研究成果或其他知识应用于某项计划或设计，以生产出新的或具有实质性改进的材料、装置、产品等活动的阶段。</w:t>
      </w:r>
    </w:p>
    <w:p w:rsidR="004A3B7E" w:rsidRDefault="00452DEF">
      <w:pPr>
        <w:pStyle w:val="a3"/>
        <w:spacing w:before="0" w:beforeAutospacing="0" w:after="0" w:afterAutospacing="0" w:line="400" w:lineRule="atLeast"/>
        <w:ind w:firstLine="360"/>
        <w:divId w:val="1769542156"/>
      </w:pPr>
      <w:r>
        <w:rPr>
          <w:rFonts w:hint="eastAsia"/>
          <w:sz w:val="18"/>
          <w:szCs w:val="18"/>
        </w:rPr>
        <w:t xml:space="preserve">开发阶段的支出同时满足下列条件的，确认为无形资产，不能满足下述条件的开发阶段的支出计入当期损益： </w:t>
      </w:r>
    </w:p>
    <w:p w:rsidR="004A3B7E" w:rsidRDefault="00452DEF">
      <w:pPr>
        <w:pStyle w:val="a3"/>
        <w:spacing w:before="0" w:beforeAutospacing="0" w:after="0" w:afterAutospacing="0" w:line="400" w:lineRule="atLeast"/>
        <w:ind w:firstLine="360"/>
        <w:divId w:val="1769542156"/>
      </w:pPr>
      <w:r>
        <w:rPr>
          <w:rFonts w:hint="eastAsia"/>
          <w:sz w:val="18"/>
          <w:szCs w:val="18"/>
        </w:rPr>
        <w:t>① 完成该无形资产以使其能够使用或出售在技术上具有可行性；</w:t>
      </w:r>
    </w:p>
    <w:p w:rsidR="004A3B7E" w:rsidRDefault="00452DEF">
      <w:pPr>
        <w:pStyle w:val="a3"/>
        <w:spacing w:before="0" w:beforeAutospacing="0" w:after="0" w:afterAutospacing="0" w:line="400" w:lineRule="atLeast"/>
        <w:ind w:firstLine="360"/>
        <w:divId w:val="1769542156"/>
      </w:pPr>
      <w:r>
        <w:rPr>
          <w:rFonts w:hint="eastAsia"/>
          <w:sz w:val="18"/>
          <w:szCs w:val="18"/>
        </w:rPr>
        <w:t>② 具有完成该无形资产并使用或出售的意图；</w:t>
      </w:r>
    </w:p>
    <w:p w:rsidR="004A3B7E" w:rsidRDefault="00452DEF">
      <w:pPr>
        <w:pStyle w:val="a3"/>
        <w:spacing w:before="0" w:beforeAutospacing="0" w:after="0" w:afterAutospacing="0" w:line="400" w:lineRule="atLeast"/>
        <w:ind w:firstLine="360"/>
        <w:divId w:val="1769542156"/>
      </w:pPr>
      <w:r>
        <w:rPr>
          <w:rFonts w:hint="eastAsia"/>
          <w:sz w:val="18"/>
          <w:szCs w:val="18"/>
        </w:rPr>
        <w:lastRenderedPageBreak/>
        <w:t>③ 无形资产产生经济利益的方式，包括能够证明运用该无形资产生产的产品存在市场或无形资产自身存在市场，无形资产将在内部使用的，能够证明其有用性；</w:t>
      </w:r>
    </w:p>
    <w:p w:rsidR="004A3B7E" w:rsidRDefault="00452DEF">
      <w:pPr>
        <w:pStyle w:val="a3"/>
        <w:spacing w:before="0" w:beforeAutospacing="0" w:after="0" w:afterAutospacing="0" w:line="400" w:lineRule="atLeast"/>
        <w:ind w:firstLine="360"/>
        <w:divId w:val="1769542156"/>
      </w:pPr>
      <w:r>
        <w:rPr>
          <w:rFonts w:hint="eastAsia"/>
          <w:sz w:val="18"/>
          <w:szCs w:val="18"/>
        </w:rPr>
        <w:t>④ 有足够的技术、财务资源和其他资源支持，以完成该无形资产的开发，并有能力使用或出售该无形资产；</w:t>
      </w:r>
    </w:p>
    <w:p w:rsidR="004A3B7E" w:rsidRDefault="00452DEF">
      <w:pPr>
        <w:pStyle w:val="a3"/>
        <w:spacing w:before="0" w:beforeAutospacing="0" w:after="0" w:afterAutospacing="0" w:line="400" w:lineRule="atLeast"/>
        <w:ind w:firstLine="360"/>
        <w:divId w:val="1769542156"/>
      </w:pPr>
      <w:r>
        <w:rPr>
          <w:rFonts w:hint="eastAsia"/>
          <w:sz w:val="18"/>
          <w:szCs w:val="18"/>
        </w:rPr>
        <w:t>⑤ 归属于该无形资产开发阶段的支出能够可靠地计量。</w:t>
      </w:r>
    </w:p>
    <w:p w:rsidR="004A3B7E" w:rsidRDefault="00452DEF">
      <w:pPr>
        <w:pStyle w:val="a3"/>
        <w:spacing w:before="0" w:beforeAutospacing="0" w:after="0" w:afterAutospacing="0" w:line="400" w:lineRule="atLeast"/>
        <w:ind w:firstLine="360"/>
        <w:divId w:val="1769542156"/>
      </w:pPr>
      <w:r>
        <w:rPr>
          <w:rFonts w:hint="eastAsia"/>
          <w:sz w:val="18"/>
          <w:szCs w:val="18"/>
        </w:rPr>
        <w:t>无法区分研究阶段支出和开发阶段支出的，将发生的研发支出全部计入当期损益。</w:t>
      </w:r>
    </w:p>
    <w:p w:rsidR="004A3B7E" w:rsidRDefault="00452DEF">
      <w:pPr>
        <w:pStyle w:val="a3"/>
        <w:spacing w:before="0" w:beforeAutospacing="0" w:after="0" w:afterAutospacing="0" w:line="400" w:lineRule="atLeast"/>
        <w:ind w:firstLine="360"/>
        <w:divId w:val="1769542156"/>
      </w:pPr>
      <w:r>
        <w:rPr>
          <w:rFonts w:hint="eastAsia"/>
          <w:sz w:val="18"/>
          <w:szCs w:val="18"/>
        </w:rPr>
        <w:t>（3）无形资产的减值测试方法及减值准备计提方法</w:t>
      </w:r>
    </w:p>
    <w:p w:rsidR="004A3B7E" w:rsidRDefault="00452DEF">
      <w:pPr>
        <w:pStyle w:val="a3"/>
        <w:spacing w:before="0" w:beforeAutospacing="0" w:after="0" w:afterAutospacing="0" w:line="400" w:lineRule="atLeast"/>
        <w:ind w:firstLine="360"/>
        <w:divId w:val="1769542156"/>
      </w:pPr>
      <w:r>
        <w:rPr>
          <w:rFonts w:hint="eastAsia"/>
          <w:sz w:val="18"/>
          <w:szCs w:val="18"/>
        </w:rPr>
        <w:t>无形资产的减值测试方法和减值准备计提方法详见</w:t>
      </w:r>
      <w:r>
        <w:rPr>
          <w:rFonts w:hint="eastAsia"/>
          <w:sz w:val="18"/>
          <w:szCs w:val="18"/>
          <w:shd w:val="clear" w:color="auto" w:fill="FFFFFF"/>
        </w:rPr>
        <w:t>附注五、19“长期资产减值”。</w:t>
      </w:r>
    </w:p>
    <w:p w:rsidR="00BD1BB9" w:rsidRDefault="00452DEF">
      <w:pPr>
        <w:pStyle w:val="3"/>
        <w:spacing w:line="280" w:lineRule="exact"/>
        <w:jc w:val="left"/>
        <w:rPr>
          <w:rFonts w:ascii="宋体" w:hAnsi="宋体" w:cs="宋体"/>
          <w:b/>
          <w:bCs/>
        </w:rPr>
      </w:pPr>
      <w:bookmarkStart w:id="143" w:name="_Toc989013"/>
      <w:r>
        <w:rPr>
          <w:rFonts w:ascii="宋体" w:hAnsi="宋体" w:cs="宋体"/>
          <w:b/>
          <w:bCs/>
        </w:rPr>
        <w:t>19、长期资产减值</w:t>
      </w:r>
      <w:bookmarkEnd w:id="143"/>
    </w:p>
    <w:p w:rsidR="004A3B7E" w:rsidRDefault="00452DEF">
      <w:pPr>
        <w:pStyle w:val="a3"/>
        <w:spacing w:before="0" w:beforeAutospacing="0" w:after="0" w:afterAutospacing="0"/>
        <w:ind w:firstLine="363"/>
        <w:jc w:val="both"/>
        <w:divId w:val="1725643457"/>
      </w:pPr>
      <w:r>
        <w:rPr>
          <w:rFonts w:hint="eastAsia"/>
          <w:sz w:val="18"/>
          <w:szCs w:val="18"/>
        </w:rPr>
        <w:t>对于固定资产、在建工程、使用寿命有限的无形资产、使用权资产、以成本模式计量的投资性房地产及对子公司、合营企业、联营企业的长期股权投资等非流动非金融资产，本公司于资产负债表日判断是否存在减值迹象。如存在减值迹象的，则估计其可收回金额，进行减值测试。商誉、使用寿命不确定的无形资产和尚未达到可使用状态的无形资产，无论是否存在减值迹象，每年均进行减值测试。</w:t>
      </w:r>
    </w:p>
    <w:p w:rsidR="004A3B7E" w:rsidRDefault="00452DEF">
      <w:pPr>
        <w:pStyle w:val="a3"/>
        <w:spacing w:before="0" w:beforeAutospacing="0" w:after="0" w:afterAutospacing="0" w:line="400" w:lineRule="atLeast"/>
        <w:ind w:firstLine="360"/>
        <w:jc w:val="both"/>
        <w:divId w:val="1725643457"/>
      </w:pPr>
      <w:r>
        <w:rPr>
          <w:rFonts w:hint="eastAsia"/>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rsidR="004A3B7E" w:rsidRDefault="00452DEF">
      <w:pPr>
        <w:pStyle w:val="a3"/>
        <w:spacing w:before="0" w:beforeAutospacing="0" w:after="0" w:afterAutospacing="0" w:line="400" w:lineRule="atLeast"/>
        <w:ind w:firstLine="360"/>
        <w:jc w:val="both"/>
        <w:divId w:val="1725643457"/>
      </w:pPr>
      <w:r>
        <w:rPr>
          <w:rFonts w:hint="eastAsia"/>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4A3B7E" w:rsidRDefault="00452DEF">
      <w:pPr>
        <w:pStyle w:val="a3"/>
        <w:spacing w:before="0" w:beforeAutospacing="0" w:after="0" w:afterAutospacing="0" w:line="400" w:lineRule="atLeast"/>
        <w:ind w:firstLine="360"/>
        <w:divId w:val="1725643457"/>
      </w:pPr>
      <w:r>
        <w:rPr>
          <w:rFonts w:hint="eastAsia"/>
          <w:sz w:val="18"/>
          <w:szCs w:val="18"/>
        </w:rPr>
        <w:t>上述资产减值损失一经确认，以后期间不予转回价值得以恢复的部分。</w:t>
      </w:r>
    </w:p>
    <w:p w:rsidR="00BD1BB9" w:rsidRDefault="00452DEF">
      <w:pPr>
        <w:pStyle w:val="3"/>
        <w:spacing w:line="280" w:lineRule="exact"/>
        <w:jc w:val="left"/>
        <w:rPr>
          <w:rFonts w:ascii="宋体" w:hAnsi="宋体" w:cs="宋体"/>
          <w:b/>
          <w:bCs/>
        </w:rPr>
      </w:pPr>
      <w:bookmarkStart w:id="144" w:name="_Toc989014"/>
      <w:r>
        <w:rPr>
          <w:rFonts w:ascii="宋体" w:hAnsi="宋体" w:cs="宋体"/>
          <w:b/>
          <w:bCs/>
        </w:rPr>
        <w:t>20、长期待摊费用</w:t>
      </w:r>
      <w:bookmarkEnd w:id="144"/>
    </w:p>
    <w:p w:rsidR="004A3B7E" w:rsidRPr="00E0094D" w:rsidRDefault="00452DEF" w:rsidP="00E0094D">
      <w:pPr>
        <w:pStyle w:val="a3"/>
        <w:spacing w:before="0" w:beforeAutospacing="0" w:after="0" w:afterAutospacing="0" w:line="400" w:lineRule="atLeast"/>
        <w:ind w:firstLine="360"/>
        <w:jc w:val="both"/>
        <w:divId w:val="657851760"/>
        <w:rPr>
          <w:sz w:val="18"/>
          <w:szCs w:val="18"/>
        </w:rPr>
      </w:pPr>
      <w:r>
        <w:rPr>
          <w:rFonts w:hint="eastAsia"/>
          <w:sz w:val="18"/>
          <w:szCs w:val="18"/>
        </w:rPr>
        <w:t>长期待摊费用为已经发生但应由报告期和以后各期负担的分摊期限在一年以上的各项费用。长期待摊费用在预计受益期间按直线法摊销。</w:t>
      </w:r>
    </w:p>
    <w:p w:rsidR="00BD1BB9" w:rsidRDefault="00452DEF">
      <w:pPr>
        <w:pStyle w:val="3"/>
        <w:spacing w:line="280" w:lineRule="exact"/>
        <w:jc w:val="left"/>
        <w:rPr>
          <w:rFonts w:ascii="宋体" w:hAnsi="宋体" w:cs="宋体"/>
          <w:b/>
          <w:bCs/>
        </w:rPr>
      </w:pPr>
      <w:bookmarkStart w:id="145" w:name="_Toc989015"/>
      <w:r>
        <w:rPr>
          <w:rFonts w:ascii="宋体" w:hAnsi="宋体" w:cs="宋体"/>
          <w:b/>
          <w:bCs/>
        </w:rPr>
        <w:t>21、合同负债</w:t>
      </w:r>
      <w:bookmarkEnd w:id="145"/>
    </w:p>
    <w:p w:rsidR="004A3B7E" w:rsidRPr="00E0094D" w:rsidRDefault="00452DEF" w:rsidP="00E0094D">
      <w:pPr>
        <w:pStyle w:val="a3"/>
        <w:spacing w:before="0" w:beforeAutospacing="0" w:after="0" w:afterAutospacing="0" w:line="400" w:lineRule="atLeast"/>
        <w:ind w:firstLine="360"/>
        <w:jc w:val="both"/>
        <w:divId w:val="816843297"/>
        <w:rPr>
          <w:sz w:val="18"/>
          <w:szCs w:val="18"/>
        </w:rPr>
      </w:pPr>
      <w:r>
        <w:rPr>
          <w:rFonts w:hint="eastAsia"/>
          <w:sz w:val="18"/>
          <w:szCs w:val="18"/>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w:t>
      </w:r>
      <w:r>
        <w:rPr>
          <w:rFonts w:hint="eastAsia"/>
          <w:sz w:val="18"/>
          <w:szCs w:val="18"/>
        </w:rPr>
        <w:lastRenderedPageBreak/>
        <w:t>已收或应收款项列示为合同负债。同一合同下的合同资产和合同负债以净额列示，不同合同下的合同资产和合同负债不予抵销。</w:t>
      </w:r>
    </w:p>
    <w:p w:rsidR="00BD1BB9" w:rsidRDefault="00452DEF">
      <w:pPr>
        <w:pStyle w:val="3"/>
        <w:spacing w:line="280" w:lineRule="exact"/>
        <w:jc w:val="left"/>
        <w:rPr>
          <w:rFonts w:ascii="宋体" w:hAnsi="宋体" w:cs="宋体"/>
          <w:b/>
          <w:bCs/>
        </w:rPr>
      </w:pPr>
      <w:bookmarkStart w:id="146" w:name="_Toc989016"/>
      <w:r>
        <w:rPr>
          <w:rFonts w:ascii="宋体" w:hAnsi="宋体" w:cs="宋体"/>
          <w:b/>
          <w:bCs/>
        </w:rPr>
        <w:t>22、职工薪酬</w:t>
      </w:r>
      <w:bookmarkEnd w:id="146"/>
    </w:p>
    <w:p w:rsidR="00BD1BB9" w:rsidRDefault="00452DEF">
      <w:pPr>
        <w:keepNext/>
        <w:keepLines/>
        <w:spacing w:before="300" w:after="300" w:line="280" w:lineRule="exact"/>
        <w:outlineLvl w:val="3"/>
        <w:rPr>
          <w:rFonts w:ascii="宋体" w:eastAsia="宋体" w:hAnsi="宋体" w:cs="宋体"/>
          <w:b/>
          <w:bCs/>
          <w:szCs w:val="21"/>
        </w:rPr>
      </w:pPr>
      <w:bookmarkStart w:id="147" w:name="_Toc989017"/>
      <w:r>
        <w:rPr>
          <w:rFonts w:ascii="宋体" w:eastAsia="宋体" w:hAnsi="宋体" w:cs="宋体"/>
          <w:b/>
          <w:bCs/>
          <w:szCs w:val="21"/>
        </w:rPr>
        <w:t>（1） 短期薪酬的会计处理方法</w:t>
      </w:r>
      <w:bookmarkEnd w:id="147"/>
    </w:p>
    <w:p w:rsidR="004A3B7E" w:rsidRPr="00E0094D" w:rsidRDefault="00452DEF" w:rsidP="00E0094D">
      <w:pPr>
        <w:pStyle w:val="a3"/>
        <w:spacing w:before="0" w:beforeAutospacing="0" w:after="0" w:afterAutospacing="0" w:line="400" w:lineRule="atLeast"/>
        <w:ind w:firstLine="360"/>
        <w:jc w:val="both"/>
        <w:divId w:val="511800936"/>
        <w:rPr>
          <w:sz w:val="18"/>
          <w:szCs w:val="18"/>
        </w:rPr>
      </w:pPr>
      <w:r>
        <w:rPr>
          <w:rFonts w:hint="eastAsia"/>
          <w:sz w:val="18"/>
          <w:szCs w:val="18"/>
        </w:rPr>
        <w:t>本公司职工薪酬主要包括短期职工薪酬、离职后福利、辞退福利。其中：短期薪酬主要包括工资、奖金、津贴和补贴、职工福利费、医疗保险费、生育保险费、工伤保险费、住房公积金、工会经费和职工教育经费、非货币性福利等。本公司在职工为本公司提供服务的会计期间将实际发生的短期职工薪酬确认为负债，并计入当期损益或相关资产成本。其中非货币性福利按公允价值计量。</w:t>
      </w:r>
    </w:p>
    <w:p w:rsidR="00BD1BB9" w:rsidRDefault="00452DEF">
      <w:pPr>
        <w:keepNext/>
        <w:keepLines/>
        <w:spacing w:before="300" w:after="300" w:line="280" w:lineRule="exact"/>
        <w:outlineLvl w:val="3"/>
        <w:rPr>
          <w:rFonts w:ascii="宋体" w:eastAsia="宋体" w:hAnsi="宋体" w:cs="宋体"/>
          <w:b/>
          <w:bCs/>
          <w:szCs w:val="21"/>
        </w:rPr>
      </w:pPr>
      <w:bookmarkStart w:id="148" w:name="_Toc989018"/>
      <w:r>
        <w:rPr>
          <w:rFonts w:ascii="宋体" w:eastAsia="宋体" w:hAnsi="宋体" w:cs="宋体"/>
          <w:b/>
          <w:bCs/>
          <w:szCs w:val="21"/>
        </w:rPr>
        <w:t>（2） 离职后福利的会计处理方法</w:t>
      </w:r>
      <w:bookmarkEnd w:id="148"/>
    </w:p>
    <w:p w:rsidR="004A3B7E" w:rsidRPr="00E0094D" w:rsidRDefault="00452DEF" w:rsidP="00E0094D">
      <w:pPr>
        <w:pStyle w:val="a3"/>
        <w:spacing w:before="0" w:beforeAutospacing="0" w:after="0" w:afterAutospacing="0" w:line="400" w:lineRule="atLeast"/>
        <w:ind w:firstLine="360"/>
        <w:jc w:val="both"/>
        <w:divId w:val="595791765"/>
        <w:rPr>
          <w:sz w:val="18"/>
          <w:szCs w:val="18"/>
        </w:rPr>
      </w:pPr>
      <w:r>
        <w:rPr>
          <w:rFonts w:hint="eastAsia"/>
          <w:sz w:val="18"/>
          <w:szCs w:val="18"/>
        </w:rPr>
        <w:t>离职后福利主要包括基本养老保险、失业保险以及年金等。离职后福利计划包括设定提存计划。采用设定提存计划的，相应的应缴存金额于发生时计入相关资产成本或当期损益。</w:t>
      </w:r>
    </w:p>
    <w:p w:rsidR="00BD1BB9" w:rsidRDefault="00452DEF">
      <w:pPr>
        <w:keepNext/>
        <w:keepLines/>
        <w:spacing w:before="300" w:after="300" w:line="280" w:lineRule="exact"/>
        <w:outlineLvl w:val="3"/>
        <w:rPr>
          <w:rFonts w:ascii="宋体" w:eastAsia="宋体" w:hAnsi="宋体" w:cs="宋体"/>
          <w:b/>
          <w:bCs/>
          <w:szCs w:val="21"/>
        </w:rPr>
      </w:pPr>
      <w:bookmarkStart w:id="149" w:name="_Toc989019"/>
      <w:r>
        <w:rPr>
          <w:rFonts w:ascii="宋体" w:eastAsia="宋体" w:hAnsi="宋体" w:cs="宋体"/>
          <w:b/>
          <w:bCs/>
          <w:szCs w:val="21"/>
        </w:rPr>
        <w:t>（3） 辞退福利的会计处理方法</w:t>
      </w:r>
      <w:bookmarkEnd w:id="149"/>
    </w:p>
    <w:p w:rsidR="004A3B7E" w:rsidRPr="00E0094D" w:rsidRDefault="00452DEF" w:rsidP="00E0094D">
      <w:pPr>
        <w:pStyle w:val="a3"/>
        <w:spacing w:before="0" w:beforeAutospacing="0" w:after="0" w:afterAutospacing="0" w:line="400" w:lineRule="atLeast"/>
        <w:ind w:firstLine="360"/>
        <w:jc w:val="both"/>
        <w:divId w:val="1606498133"/>
        <w:rPr>
          <w:sz w:val="18"/>
          <w:szCs w:val="18"/>
        </w:rPr>
      </w:pPr>
      <w:r>
        <w:rPr>
          <w:rFonts w:hint="eastAsia"/>
          <w:sz w:val="18"/>
          <w:szCs w:val="18"/>
        </w:rPr>
        <w:t>在职工劳动合同到期之前解除与职工的劳动关系，或为鼓励职工自愿接受裁减而提出给予补偿的建议，在本公司不能单方面撤回因解除劳动关系计划或裁减建议所提供的辞退福利时，和本公司确认与涉及支付辞退福利的重组相关的成本两者孰早日，确认辞退福利产生的职工薪酬负债，并计入当期损益。但辞退福利预期在年度报告期结束后十二个月不能完全支付的，按照其他长期职工薪酬处理。</w:t>
      </w:r>
    </w:p>
    <w:p w:rsidR="004A3B7E" w:rsidRPr="00E0094D" w:rsidRDefault="00452DEF" w:rsidP="00E0094D">
      <w:pPr>
        <w:pStyle w:val="a3"/>
        <w:spacing w:before="0" w:beforeAutospacing="0" w:after="0" w:afterAutospacing="0" w:line="400" w:lineRule="atLeast"/>
        <w:ind w:firstLine="360"/>
        <w:jc w:val="both"/>
        <w:divId w:val="1606498133"/>
        <w:rPr>
          <w:sz w:val="18"/>
          <w:szCs w:val="18"/>
        </w:rPr>
      </w:pPr>
      <w:r>
        <w:rPr>
          <w:rFonts w:hint="eastAsia"/>
          <w:sz w:val="18"/>
          <w:szCs w:val="18"/>
        </w:rPr>
        <w:t>职工内部退休计划采用与上述辞退福利相同的原则处理。本公司将自职工停止提供服务日至正常退休日的期间拟支付的内退人员工资和缴纳的社会保险费等，在符合预计负债确认条件时，计入当期损益（辞退福利）。</w:t>
      </w:r>
    </w:p>
    <w:p w:rsidR="00BD1BB9" w:rsidRDefault="00452DEF">
      <w:pPr>
        <w:keepNext/>
        <w:keepLines/>
        <w:spacing w:before="300" w:after="300" w:line="280" w:lineRule="exact"/>
        <w:outlineLvl w:val="3"/>
        <w:rPr>
          <w:rFonts w:ascii="宋体" w:eastAsia="宋体" w:hAnsi="宋体" w:cs="宋体"/>
          <w:b/>
          <w:bCs/>
          <w:szCs w:val="21"/>
        </w:rPr>
      </w:pPr>
      <w:bookmarkStart w:id="150" w:name="_Toc989020"/>
      <w:r>
        <w:rPr>
          <w:rFonts w:ascii="宋体" w:eastAsia="宋体" w:hAnsi="宋体" w:cs="宋体"/>
          <w:b/>
          <w:bCs/>
          <w:szCs w:val="21"/>
        </w:rPr>
        <w:t>（4） 其他长期职工福利的会计处理方法</w:t>
      </w:r>
      <w:bookmarkEnd w:id="150"/>
    </w:p>
    <w:p w:rsidR="004A3B7E" w:rsidRPr="00E0094D" w:rsidRDefault="00452DEF" w:rsidP="00E0094D">
      <w:pPr>
        <w:pStyle w:val="a3"/>
        <w:spacing w:before="0" w:beforeAutospacing="0" w:after="0" w:afterAutospacing="0" w:line="400" w:lineRule="atLeast"/>
        <w:ind w:firstLine="360"/>
        <w:jc w:val="both"/>
        <w:divId w:val="1100951693"/>
        <w:rPr>
          <w:sz w:val="18"/>
          <w:szCs w:val="18"/>
        </w:rPr>
      </w:pPr>
      <w:r>
        <w:rPr>
          <w:rFonts w:hint="eastAsia"/>
          <w:sz w:val="18"/>
          <w:szCs w:val="18"/>
        </w:rPr>
        <w:t>本公司向职工提供的其他长期职工福利，符合设定提存计划的，按照设定提存计划进行会计处理，除此之外按照设定受益计划进行会计处理。</w:t>
      </w:r>
    </w:p>
    <w:p w:rsidR="00BD1BB9" w:rsidRDefault="00452DEF">
      <w:pPr>
        <w:pStyle w:val="3"/>
        <w:spacing w:line="280" w:lineRule="exact"/>
        <w:jc w:val="left"/>
        <w:rPr>
          <w:rFonts w:ascii="宋体" w:hAnsi="宋体" w:cs="宋体"/>
          <w:b/>
          <w:bCs/>
        </w:rPr>
      </w:pPr>
      <w:bookmarkStart w:id="151" w:name="_Toc989021"/>
      <w:r>
        <w:rPr>
          <w:rFonts w:ascii="宋体" w:hAnsi="宋体" w:cs="宋体"/>
          <w:b/>
          <w:bCs/>
        </w:rPr>
        <w:t>23、预计负债</w:t>
      </w:r>
      <w:bookmarkEnd w:id="151"/>
    </w:p>
    <w:p w:rsidR="004A3B7E" w:rsidRPr="00E0094D" w:rsidRDefault="00452DEF" w:rsidP="00E0094D">
      <w:pPr>
        <w:pStyle w:val="a3"/>
        <w:spacing w:before="0" w:beforeAutospacing="0" w:after="0" w:afterAutospacing="0" w:line="400" w:lineRule="atLeast"/>
        <w:ind w:firstLine="360"/>
        <w:jc w:val="both"/>
        <w:divId w:val="562720961"/>
        <w:rPr>
          <w:sz w:val="18"/>
          <w:szCs w:val="18"/>
        </w:rPr>
      </w:pPr>
      <w:r>
        <w:rPr>
          <w:rFonts w:hint="eastAsia"/>
          <w:sz w:val="18"/>
          <w:szCs w:val="18"/>
        </w:rPr>
        <w:t>因对外提供担保、诉讼事项、产品质量保证、亏损合同等或有事项形成的义务成为本公司承担的现时义务，履行该义务很可能导致经济利益流出本公司，且该义务的金额能够可靠的计量时，本公司将该项义务确认为预计负债。</w:t>
      </w:r>
    </w:p>
    <w:p w:rsidR="004A3B7E" w:rsidRPr="00E0094D" w:rsidRDefault="00452DEF" w:rsidP="00E0094D">
      <w:pPr>
        <w:pStyle w:val="a3"/>
        <w:spacing w:before="0" w:beforeAutospacing="0" w:after="0" w:afterAutospacing="0" w:line="400" w:lineRule="atLeast"/>
        <w:ind w:firstLine="360"/>
        <w:jc w:val="both"/>
        <w:divId w:val="562720961"/>
        <w:rPr>
          <w:sz w:val="18"/>
          <w:szCs w:val="18"/>
        </w:rPr>
      </w:pPr>
      <w:r>
        <w:rPr>
          <w:rFonts w:hint="eastAsia"/>
          <w:sz w:val="18"/>
          <w:szCs w:val="18"/>
        </w:rPr>
        <w:t>本公司按照履行相关现时义务所需支出的最佳估计数对预计负债进行初始计量，并在资产负债表日对预计负债的账面价值进行复核。</w:t>
      </w:r>
    </w:p>
    <w:p w:rsidR="004A3B7E" w:rsidRPr="00E0094D" w:rsidRDefault="00452DEF" w:rsidP="00E0094D">
      <w:pPr>
        <w:pStyle w:val="a3"/>
        <w:spacing w:before="0" w:beforeAutospacing="0" w:after="0" w:afterAutospacing="0" w:line="400" w:lineRule="atLeast"/>
        <w:ind w:firstLine="360"/>
        <w:jc w:val="both"/>
        <w:divId w:val="562720961"/>
        <w:rPr>
          <w:sz w:val="18"/>
          <w:szCs w:val="18"/>
        </w:rPr>
      </w:pPr>
      <w:r>
        <w:rPr>
          <w:rFonts w:hint="eastAsia"/>
          <w:sz w:val="18"/>
          <w:szCs w:val="18"/>
        </w:rPr>
        <w:t>如果清偿预计负债所需支出全部或部分预期由第三方补偿的，补偿金额在基本确定能够收到时，作为资产单独确认，且确认的补偿金额不超过预计负债的账面价值。</w:t>
      </w:r>
    </w:p>
    <w:p w:rsidR="00BD1BB9" w:rsidRDefault="00452DEF">
      <w:pPr>
        <w:pStyle w:val="3"/>
        <w:spacing w:line="280" w:lineRule="exact"/>
        <w:jc w:val="left"/>
        <w:rPr>
          <w:rFonts w:ascii="宋体" w:hAnsi="宋体" w:cs="宋体"/>
          <w:b/>
          <w:bCs/>
        </w:rPr>
      </w:pPr>
      <w:bookmarkStart w:id="152" w:name="_Toc989022"/>
      <w:r>
        <w:rPr>
          <w:rFonts w:ascii="宋体" w:hAnsi="宋体" w:cs="宋体"/>
          <w:b/>
          <w:bCs/>
        </w:rPr>
        <w:lastRenderedPageBreak/>
        <w:t>24、股份支付</w:t>
      </w:r>
      <w:bookmarkEnd w:id="152"/>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（1）股份支付的会计处理方法</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股份支付是为了获取职工或其他方提供服务而授予权益工具或者承担以权益工具为基础确定的负债的交易。股份支付分为以权益结算的股份支付和以现金结算的股份支付。</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① 以权益结算的股份支付</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在授予后立即可行权时，在授予日计入相关成本或费用，相应增加资本公积。</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在等待期内每个资产负债表日，本公司根据最新取得的可行权职工人数变动等后续信息做出最佳估计，修正预计可行权的权益工具数量。上述估计的影响计入当期相关成本或费用，并相应调整资本公积。</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② 以现金结算的股份支付</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以现金结算的股份支付，按照本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权情况的最佳估计为基础，按照本公司承担负债的公允价值金额，将当期取得的服务计入成本或费用，相应增加负债。</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在相关负债结算前的每个资产负债表日以及结算日，对负债的公允价值重新计量，其变动计入当期损益。</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（2）修改、终止股份支付计划的相关会计处理</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本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公司取消了部分或全部已授予的权益工具。</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（3）涉及本公司与本公司股东或实际控制人的股份支付交易的会计处理</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涉及本公司与本公司股东或实际控制人的股份支付交易，结算企业与接受服务企业中其一在本公司合并范围内，另一在本公司合并范围外的，在本公司合并财务报表中按照以下规定进行会计处理：</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① 结算企业以其本身权益工具结算的，将该股份支付交易作为权益结算的股份支付处理；除此之外，作为现金结算的股份支付处理。</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结算企业是接受服务企业的投资者的，按照授予日权益工具的公允价值或应承担负债的公允价值确认为对接受服务企业的长期股权投资，同时确认资本公积（其他资本公积）或负债。</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lastRenderedPageBreak/>
        <w:t>② 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rsidR="004A3B7E" w:rsidRPr="00E0094D" w:rsidRDefault="00452DEF" w:rsidP="00E0094D">
      <w:pPr>
        <w:pStyle w:val="a3"/>
        <w:spacing w:before="0" w:beforeAutospacing="0" w:after="0" w:afterAutospacing="0" w:line="400" w:lineRule="atLeast"/>
        <w:ind w:firstLine="360"/>
        <w:jc w:val="both"/>
        <w:divId w:val="1155681717"/>
        <w:rPr>
          <w:sz w:val="18"/>
          <w:szCs w:val="18"/>
        </w:rPr>
      </w:pPr>
      <w:r>
        <w:rPr>
          <w:rFonts w:hint="eastAsia"/>
          <w:sz w:val="18"/>
          <w:szCs w:val="18"/>
        </w:rPr>
        <w:t>本公司合并范围内各企业之间发生的股份支付交易，接受服务企业和结算企业不是同一企业的，在接受服务企业和结算企业各自的个别财务报表中对该股份支付交易的确认和计量，比照上述原则处理。</w:t>
      </w:r>
    </w:p>
    <w:p w:rsidR="00BD1BB9" w:rsidRDefault="00452DEF">
      <w:pPr>
        <w:pStyle w:val="3"/>
        <w:spacing w:line="280" w:lineRule="exact"/>
        <w:jc w:val="left"/>
        <w:rPr>
          <w:rFonts w:ascii="宋体" w:hAnsi="宋体" w:cs="宋体"/>
          <w:b/>
          <w:bCs/>
        </w:rPr>
      </w:pPr>
      <w:bookmarkStart w:id="153" w:name="_Toc989023"/>
      <w:r>
        <w:rPr>
          <w:rFonts w:ascii="宋体" w:hAnsi="宋体" w:cs="宋体"/>
          <w:b/>
          <w:bCs/>
        </w:rPr>
        <w:t>25、优先股、永续债等其他金融工具</w:t>
      </w:r>
      <w:bookmarkEnd w:id="153"/>
    </w:p>
    <w:p w:rsidR="004A3B7E" w:rsidRPr="00E0094D" w:rsidRDefault="00452DEF" w:rsidP="00E0094D">
      <w:pPr>
        <w:pStyle w:val="a3"/>
        <w:spacing w:before="0" w:beforeAutospacing="0" w:after="0" w:afterAutospacing="0" w:line="400" w:lineRule="atLeast"/>
        <w:ind w:firstLine="360"/>
        <w:jc w:val="both"/>
        <w:divId w:val="758214882"/>
        <w:rPr>
          <w:sz w:val="18"/>
          <w:szCs w:val="18"/>
        </w:rPr>
      </w:pPr>
      <w:r>
        <w:rPr>
          <w:rFonts w:hint="eastAsia"/>
          <w:sz w:val="18"/>
          <w:szCs w:val="18"/>
        </w:rPr>
        <w:t>（1）永续债和优先股等的区分</w:t>
      </w:r>
    </w:p>
    <w:p w:rsidR="004A3B7E" w:rsidRPr="00E0094D" w:rsidRDefault="00452DEF" w:rsidP="00E0094D">
      <w:pPr>
        <w:pStyle w:val="a3"/>
        <w:spacing w:before="0" w:beforeAutospacing="0" w:after="0" w:afterAutospacing="0" w:line="400" w:lineRule="atLeast"/>
        <w:ind w:firstLine="360"/>
        <w:jc w:val="both"/>
        <w:divId w:val="758214882"/>
        <w:rPr>
          <w:sz w:val="18"/>
          <w:szCs w:val="18"/>
        </w:rPr>
      </w:pPr>
      <w:r>
        <w:rPr>
          <w:rFonts w:hint="eastAsia"/>
          <w:sz w:val="18"/>
          <w:szCs w:val="18"/>
        </w:rPr>
        <w:t>本公司发行的永续债和优先股等金融工具，同时符合以下条件的，作为权益工具：</w:t>
      </w:r>
    </w:p>
    <w:p w:rsidR="004A3B7E" w:rsidRPr="00E0094D" w:rsidRDefault="00452DEF" w:rsidP="00E0094D">
      <w:pPr>
        <w:pStyle w:val="a3"/>
        <w:spacing w:before="0" w:beforeAutospacing="0" w:after="0" w:afterAutospacing="0" w:line="400" w:lineRule="atLeast"/>
        <w:ind w:firstLine="360"/>
        <w:jc w:val="both"/>
        <w:divId w:val="758214882"/>
        <w:rPr>
          <w:sz w:val="18"/>
          <w:szCs w:val="18"/>
        </w:rPr>
      </w:pPr>
      <w:r>
        <w:rPr>
          <w:rFonts w:hint="eastAsia"/>
          <w:sz w:val="18"/>
          <w:szCs w:val="18"/>
        </w:rPr>
        <w:t>①该金融工具不包括交付现金或其他金融资产给其他方，或在潜在不利条件下与其他方交换金融资产或金融负债的合同义务；</w:t>
      </w:r>
    </w:p>
    <w:p w:rsidR="004A3B7E" w:rsidRPr="00E0094D" w:rsidRDefault="00452DEF" w:rsidP="00E0094D">
      <w:pPr>
        <w:pStyle w:val="a3"/>
        <w:spacing w:before="0" w:beforeAutospacing="0" w:after="0" w:afterAutospacing="0" w:line="400" w:lineRule="atLeast"/>
        <w:ind w:firstLine="360"/>
        <w:jc w:val="both"/>
        <w:divId w:val="758214882"/>
        <w:rPr>
          <w:sz w:val="18"/>
          <w:szCs w:val="18"/>
        </w:rPr>
      </w:pPr>
      <w:r>
        <w:rPr>
          <w:rFonts w:hint="eastAsia"/>
          <w:sz w:val="18"/>
          <w:szCs w:val="18"/>
        </w:rPr>
        <w:t>②如将来须用或可用企业自身权益工具结算该金融工具的，如该金融工具为非衍生工具，则不包括交付可变数量的自身权益工具进行结算的合同义务；如为衍生工具，则本公司只能通过以固定数量的自身权益工具交换固定金额的现金或其他金融资产结算该金融工具。</w:t>
      </w:r>
    </w:p>
    <w:p w:rsidR="004A3B7E" w:rsidRPr="00E0094D" w:rsidRDefault="00452DEF" w:rsidP="00E0094D">
      <w:pPr>
        <w:pStyle w:val="a3"/>
        <w:spacing w:before="0" w:beforeAutospacing="0" w:after="0" w:afterAutospacing="0" w:line="400" w:lineRule="atLeast"/>
        <w:ind w:firstLine="360"/>
        <w:jc w:val="both"/>
        <w:divId w:val="758214882"/>
        <w:rPr>
          <w:sz w:val="18"/>
          <w:szCs w:val="18"/>
        </w:rPr>
      </w:pPr>
      <w:r>
        <w:rPr>
          <w:rFonts w:hint="eastAsia"/>
          <w:sz w:val="18"/>
          <w:szCs w:val="18"/>
        </w:rPr>
        <w:t>除按上述条件可归类为权益工具的金融工具以外，本公司发行的其他金融工具应归类为金融负债。</w:t>
      </w:r>
    </w:p>
    <w:p w:rsidR="004A3B7E" w:rsidRPr="00E0094D" w:rsidRDefault="00452DEF" w:rsidP="00E0094D">
      <w:pPr>
        <w:pStyle w:val="a3"/>
        <w:spacing w:before="0" w:beforeAutospacing="0" w:after="0" w:afterAutospacing="0" w:line="400" w:lineRule="atLeast"/>
        <w:ind w:firstLine="360"/>
        <w:jc w:val="both"/>
        <w:divId w:val="758214882"/>
        <w:rPr>
          <w:sz w:val="18"/>
          <w:szCs w:val="18"/>
        </w:rPr>
      </w:pPr>
      <w:r>
        <w:rPr>
          <w:rFonts w:hint="eastAsia"/>
          <w:sz w:val="18"/>
          <w:szCs w:val="18"/>
        </w:rPr>
        <w:t>本公司发行的金融工具为复合金融工具的，按照负债成分的公允价值确认为一项负债，按实际收到的金额扣除负债成分的公允价值后的金额，确认为“其他权益工具”。发行复合金融工具发生的交易费用，在负债成分和权益成分之间按照各自占总发行价款的比例进行分摊。</w:t>
      </w:r>
    </w:p>
    <w:p w:rsidR="004A3B7E" w:rsidRPr="00E0094D" w:rsidRDefault="00452DEF" w:rsidP="00E0094D">
      <w:pPr>
        <w:pStyle w:val="a3"/>
        <w:spacing w:before="0" w:beforeAutospacing="0" w:after="0" w:afterAutospacing="0" w:line="400" w:lineRule="atLeast"/>
        <w:ind w:firstLine="360"/>
        <w:jc w:val="both"/>
        <w:divId w:val="758214882"/>
        <w:rPr>
          <w:sz w:val="18"/>
          <w:szCs w:val="18"/>
        </w:rPr>
      </w:pPr>
      <w:r>
        <w:rPr>
          <w:rFonts w:hint="eastAsia"/>
          <w:sz w:val="18"/>
          <w:szCs w:val="18"/>
        </w:rPr>
        <w:t>（2）永续债和优先股等的会计处理方法</w:t>
      </w:r>
    </w:p>
    <w:p w:rsidR="004A3B7E" w:rsidRPr="00E0094D" w:rsidRDefault="00452DEF" w:rsidP="00E0094D">
      <w:pPr>
        <w:pStyle w:val="a3"/>
        <w:spacing w:before="0" w:beforeAutospacing="0" w:after="0" w:afterAutospacing="0" w:line="400" w:lineRule="atLeast"/>
        <w:ind w:firstLine="360"/>
        <w:jc w:val="both"/>
        <w:divId w:val="758214882"/>
        <w:rPr>
          <w:sz w:val="18"/>
          <w:szCs w:val="18"/>
        </w:rPr>
      </w:pPr>
      <w:r>
        <w:rPr>
          <w:rFonts w:hint="eastAsia"/>
          <w:sz w:val="18"/>
          <w:szCs w:val="18"/>
        </w:rPr>
        <w:t>归类为金融负债的永续债和优先股等金融工具，其相关利息、股利（或股息）、利得或损失，以及赎回或再融资产生的利得或损失等，除符合资本化条件的借款费用（参见本</w:t>
      </w:r>
      <w:r w:rsidRPr="00E0094D">
        <w:rPr>
          <w:rFonts w:hint="eastAsia"/>
          <w:sz w:val="18"/>
          <w:szCs w:val="18"/>
        </w:rPr>
        <w:t>附注五、17“借款费用”）以外</w:t>
      </w:r>
      <w:r>
        <w:rPr>
          <w:rFonts w:hint="eastAsia"/>
          <w:sz w:val="18"/>
          <w:szCs w:val="18"/>
        </w:rPr>
        <w:t>，均计入当期损益。</w:t>
      </w:r>
    </w:p>
    <w:p w:rsidR="004A3B7E" w:rsidRPr="00E0094D" w:rsidRDefault="00452DEF" w:rsidP="00E0094D">
      <w:pPr>
        <w:pStyle w:val="a3"/>
        <w:spacing w:before="0" w:beforeAutospacing="0" w:after="0" w:afterAutospacing="0" w:line="400" w:lineRule="atLeast"/>
        <w:ind w:firstLine="360"/>
        <w:jc w:val="both"/>
        <w:divId w:val="758214882"/>
        <w:rPr>
          <w:sz w:val="18"/>
          <w:szCs w:val="18"/>
        </w:rPr>
      </w:pPr>
      <w:r>
        <w:rPr>
          <w:rFonts w:hint="eastAsia"/>
          <w:sz w:val="18"/>
          <w:szCs w:val="18"/>
        </w:rPr>
        <w:t>归类为权益工具的永续债和优先股等金融工具，其发行（含再融资）、回购、出售或注销时，本公司作为权益的变动处理，相关交易费用亦从权益中扣减。本公司对权益工具持有方的分配作为利润分配处理。</w:t>
      </w:r>
    </w:p>
    <w:p w:rsidR="004A3B7E" w:rsidRPr="00E0094D" w:rsidRDefault="00452DEF" w:rsidP="00E0094D">
      <w:pPr>
        <w:pStyle w:val="a3"/>
        <w:spacing w:before="0" w:beforeAutospacing="0" w:after="0" w:afterAutospacing="0" w:line="400" w:lineRule="atLeast"/>
        <w:ind w:firstLine="360"/>
        <w:jc w:val="both"/>
        <w:divId w:val="758214882"/>
        <w:rPr>
          <w:sz w:val="18"/>
          <w:szCs w:val="18"/>
        </w:rPr>
      </w:pPr>
      <w:r>
        <w:rPr>
          <w:rFonts w:hint="eastAsia"/>
          <w:sz w:val="18"/>
          <w:szCs w:val="18"/>
        </w:rPr>
        <w:t>本公司不确认权益工具的公允价值变动。</w:t>
      </w:r>
    </w:p>
    <w:p w:rsidR="00BD1BB9" w:rsidRDefault="00452DEF">
      <w:pPr>
        <w:pStyle w:val="3"/>
        <w:spacing w:line="280" w:lineRule="exact"/>
        <w:jc w:val="left"/>
        <w:rPr>
          <w:rFonts w:ascii="宋体" w:hAnsi="宋体" w:cs="宋体"/>
          <w:b/>
          <w:bCs/>
        </w:rPr>
      </w:pPr>
      <w:bookmarkStart w:id="154" w:name="_Toc989024"/>
      <w:r>
        <w:rPr>
          <w:rFonts w:ascii="宋体" w:hAnsi="宋体" w:cs="宋体"/>
          <w:b/>
          <w:bCs/>
        </w:rPr>
        <w:t>26、收入</w:t>
      </w:r>
      <w:bookmarkEnd w:id="154"/>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按照业务类型披露收入确认和计量所采用的会计政策</w:t>
      </w:r>
    </w:p>
    <w:p w:rsidR="004A3B7E" w:rsidRPr="00E0094D" w:rsidRDefault="00452DEF" w:rsidP="00E0094D">
      <w:pPr>
        <w:pStyle w:val="a3"/>
        <w:spacing w:before="0" w:beforeAutospacing="0" w:after="0" w:afterAutospacing="0" w:line="400" w:lineRule="atLeast"/>
        <w:ind w:firstLine="360"/>
        <w:jc w:val="both"/>
        <w:divId w:val="807403876"/>
        <w:rPr>
          <w:sz w:val="18"/>
          <w:szCs w:val="18"/>
        </w:rPr>
      </w:pPr>
      <w:r>
        <w:rPr>
          <w:rFonts w:hint="eastAsia"/>
          <w:sz w:val="18"/>
          <w:szCs w:val="18"/>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本公司未来现金流量的风险、时间分布或金额；本公司因向客户转让商品而有权取得的对价很可能收回。</w:t>
      </w:r>
    </w:p>
    <w:p w:rsidR="004A3B7E" w:rsidRPr="00E0094D" w:rsidRDefault="00452DEF" w:rsidP="00E0094D">
      <w:pPr>
        <w:pStyle w:val="a3"/>
        <w:spacing w:before="0" w:beforeAutospacing="0" w:after="0" w:afterAutospacing="0" w:line="400" w:lineRule="atLeast"/>
        <w:ind w:firstLine="360"/>
        <w:jc w:val="both"/>
        <w:divId w:val="807403876"/>
        <w:rPr>
          <w:sz w:val="18"/>
          <w:szCs w:val="18"/>
        </w:rPr>
      </w:pPr>
      <w:r>
        <w:rPr>
          <w:rFonts w:hint="eastAsia"/>
          <w:sz w:val="18"/>
          <w:szCs w:val="18"/>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rsidR="004A3B7E" w:rsidRPr="00E0094D" w:rsidRDefault="00452DEF" w:rsidP="00E0094D">
      <w:pPr>
        <w:pStyle w:val="a3"/>
        <w:spacing w:before="0" w:beforeAutospacing="0" w:after="0" w:afterAutospacing="0" w:line="400" w:lineRule="atLeast"/>
        <w:ind w:firstLine="360"/>
        <w:jc w:val="both"/>
        <w:divId w:val="807403876"/>
        <w:rPr>
          <w:sz w:val="18"/>
          <w:szCs w:val="18"/>
        </w:rPr>
      </w:pPr>
      <w:r>
        <w:rPr>
          <w:rFonts w:hint="eastAsia"/>
          <w:sz w:val="18"/>
          <w:szCs w:val="18"/>
        </w:rPr>
        <w:lastRenderedPageBreak/>
        <w:t>对于合同中的每个单项履约义务，如果满足下列条件之一的，本公司在相关履约时段内按照履约进度将分摊至该单项履约义务的交易价格确认为收入：客户在本公司履约的同时即取得并消耗本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rsidR="004A3B7E" w:rsidRPr="00E0094D" w:rsidRDefault="00452DEF" w:rsidP="00E0094D">
      <w:pPr>
        <w:pStyle w:val="a3"/>
        <w:spacing w:before="0" w:beforeAutospacing="0" w:after="0" w:afterAutospacing="0" w:line="400" w:lineRule="atLeast"/>
        <w:ind w:firstLine="360"/>
        <w:jc w:val="both"/>
        <w:divId w:val="807403876"/>
        <w:rPr>
          <w:sz w:val="18"/>
          <w:szCs w:val="18"/>
        </w:rPr>
      </w:pPr>
      <w:r>
        <w:rPr>
          <w:rFonts w:hint="eastAsia"/>
          <w:sz w:val="18"/>
          <w:szCs w:val="18"/>
        </w:rPr>
        <w:t>如果不满足上述条件之一，则本公司在客户取得相关商品控制权的时点将分摊至该单项履约义务的交易价格确认收入。在判断客户是否已取得商品控制权时，本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同类业务采用不同经营模式涉及不同收入确认方式及计量方法的情况</w:t>
      </w:r>
    </w:p>
    <w:p w:rsidR="004A3B7E" w:rsidRDefault="00452DEF">
      <w:pPr>
        <w:pStyle w:val="a3"/>
        <w:divId w:val="1736511973"/>
        <w:rPr>
          <w:sz w:val="18"/>
          <w:szCs w:val="18"/>
        </w:rPr>
      </w:pPr>
      <w:r>
        <w:rPr>
          <w:rFonts w:hint="eastAsia"/>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公司需遵守《深圳证券交易所上市公司自律监管指引第3号——行业信息披露》中的“化工行业相关业务”的披露要求</w:t>
      </w:r>
    </w:p>
    <w:p w:rsidR="004A3B7E" w:rsidRPr="00E0094D" w:rsidRDefault="00452DEF" w:rsidP="00E0094D">
      <w:pPr>
        <w:pStyle w:val="a3"/>
        <w:spacing w:before="0" w:beforeAutospacing="0" w:after="0" w:afterAutospacing="0" w:line="400" w:lineRule="atLeast"/>
        <w:ind w:firstLine="360"/>
        <w:jc w:val="both"/>
        <w:divId w:val="194928606"/>
        <w:rPr>
          <w:sz w:val="18"/>
          <w:szCs w:val="18"/>
        </w:rPr>
      </w:pPr>
      <w:r>
        <w:rPr>
          <w:rFonts w:hint="eastAsia"/>
          <w:sz w:val="18"/>
          <w:szCs w:val="18"/>
        </w:rPr>
        <w:t>本公司收入主要来源于销售商品和码头仓储服务。销售商品属于在某一时点履行履约义务，商品销售收入确认的具体政策：①国内销售收入确认需满足以下条件：公司已根据合同约定将产品交付给客户且客户已接受该商品，己经收回货款或取得了收款权利的凭证等；②对于国外销售的产品，以产品发运、办理出口清关手续并取得报关单及货运提单时确认销售收入。码头仓储服务属于在某一时段履行履约义务，收入确认的具体政策：公司每月根据合同约定的月度计费标准，经客户或其他仓储代理确认的储存量、分装量及装卸管理服务量汇总后编制结算单，根据结算单金额确认当月收入。</w:t>
      </w:r>
    </w:p>
    <w:p w:rsidR="00BD1BB9" w:rsidRDefault="00452DEF">
      <w:pPr>
        <w:pStyle w:val="3"/>
        <w:spacing w:line="280" w:lineRule="exact"/>
        <w:jc w:val="left"/>
        <w:rPr>
          <w:rFonts w:ascii="宋体" w:hAnsi="宋体" w:cs="宋体"/>
          <w:b/>
          <w:bCs/>
        </w:rPr>
      </w:pPr>
      <w:bookmarkStart w:id="155" w:name="_Toc989025"/>
      <w:r>
        <w:rPr>
          <w:rFonts w:ascii="宋体" w:hAnsi="宋体" w:cs="宋体"/>
          <w:b/>
          <w:bCs/>
        </w:rPr>
        <w:t>27、合同成本</w:t>
      </w:r>
      <w:bookmarkEnd w:id="155"/>
    </w:p>
    <w:p w:rsidR="004A3B7E" w:rsidRPr="00E0094D" w:rsidRDefault="00452DEF" w:rsidP="00E0094D">
      <w:pPr>
        <w:pStyle w:val="a3"/>
        <w:spacing w:before="0" w:beforeAutospacing="0" w:after="0" w:afterAutospacing="0" w:line="400" w:lineRule="atLeast"/>
        <w:ind w:firstLine="360"/>
        <w:jc w:val="both"/>
        <w:divId w:val="1678997275"/>
        <w:rPr>
          <w:sz w:val="18"/>
          <w:szCs w:val="18"/>
        </w:rPr>
      </w:pPr>
      <w:r>
        <w:rPr>
          <w:rFonts w:hint="eastAsia"/>
          <w:sz w:val="18"/>
          <w:szCs w:val="18"/>
        </w:rPr>
        <w:t>合同成本分为合同履约成本与合同取得成本。</w:t>
      </w:r>
    </w:p>
    <w:p w:rsidR="004A3B7E" w:rsidRPr="00E0094D" w:rsidRDefault="00452DEF" w:rsidP="00E0094D">
      <w:pPr>
        <w:pStyle w:val="a3"/>
        <w:spacing w:before="0" w:beforeAutospacing="0" w:after="0" w:afterAutospacing="0" w:line="400" w:lineRule="atLeast"/>
        <w:ind w:firstLine="360"/>
        <w:jc w:val="both"/>
        <w:divId w:val="1678997275"/>
        <w:rPr>
          <w:sz w:val="18"/>
          <w:szCs w:val="18"/>
        </w:rPr>
      </w:pPr>
      <w:r>
        <w:rPr>
          <w:rFonts w:hint="eastAsia"/>
          <w:sz w:val="18"/>
          <w:szCs w:val="18"/>
        </w:rPr>
        <w:t>本公司为履行合同发生的成本同时满足下列条件的，作为合同履约成本确认为一项资产：</w:t>
      </w:r>
    </w:p>
    <w:p w:rsidR="004A3B7E" w:rsidRPr="00E0094D" w:rsidRDefault="00452DEF" w:rsidP="00E0094D">
      <w:pPr>
        <w:pStyle w:val="a3"/>
        <w:spacing w:before="0" w:beforeAutospacing="0" w:after="0" w:afterAutospacing="0" w:line="400" w:lineRule="atLeast"/>
        <w:ind w:firstLine="360"/>
        <w:jc w:val="both"/>
        <w:divId w:val="1678997275"/>
        <w:rPr>
          <w:sz w:val="18"/>
          <w:szCs w:val="18"/>
        </w:rPr>
      </w:pPr>
      <w:r>
        <w:rPr>
          <w:rFonts w:hint="eastAsia"/>
          <w:sz w:val="18"/>
          <w:szCs w:val="18"/>
        </w:rPr>
        <w:t>（1）该成本与一份当前或预期取得的合同直接相关，包括直接人工、直接材料、制造费用（或类似费用）、明确由客户承担的成本以及仅因该合同而发生的其他成本；</w:t>
      </w:r>
    </w:p>
    <w:p w:rsidR="004A3B7E" w:rsidRPr="00E0094D" w:rsidRDefault="00452DEF" w:rsidP="00E0094D">
      <w:pPr>
        <w:pStyle w:val="a3"/>
        <w:spacing w:before="0" w:beforeAutospacing="0" w:after="0" w:afterAutospacing="0" w:line="400" w:lineRule="atLeast"/>
        <w:ind w:firstLine="360"/>
        <w:jc w:val="both"/>
        <w:divId w:val="1678997275"/>
        <w:rPr>
          <w:sz w:val="18"/>
          <w:szCs w:val="18"/>
        </w:rPr>
      </w:pPr>
      <w:r>
        <w:rPr>
          <w:rFonts w:hint="eastAsia"/>
          <w:sz w:val="18"/>
          <w:szCs w:val="18"/>
        </w:rPr>
        <w:t>（2）该成本增加了企业未来用于履行履约义务的资源；</w:t>
      </w:r>
    </w:p>
    <w:p w:rsidR="004A3B7E" w:rsidRPr="00E0094D" w:rsidRDefault="00452DEF" w:rsidP="00E0094D">
      <w:pPr>
        <w:pStyle w:val="a3"/>
        <w:spacing w:before="0" w:beforeAutospacing="0" w:after="0" w:afterAutospacing="0" w:line="400" w:lineRule="atLeast"/>
        <w:ind w:firstLine="360"/>
        <w:jc w:val="both"/>
        <w:divId w:val="1678997275"/>
        <w:rPr>
          <w:sz w:val="18"/>
          <w:szCs w:val="18"/>
        </w:rPr>
      </w:pPr>
      <w:r>
        <w:rPr>
          <w:rFonts w:hint="eastAsia"/>
          <w:sz w:val="18"/>
          <w:szCs w:val="18"/>
        </w:rPr>
        <w:t>（3）该成本预期能够收回。</w:t>
      </w:r>
    </w:p>
    <w:p w:rsidR="004A3B7E" w:rsidRPr="00E0094D" w:rsidRDefault="00452DEF" w:rsidP="00E0094D">
      <w:pPr>
        <w:pStyle w:val="a3"/>
        <w:spacing w:before="0" w:beforeAutospacing="0" w:after="0" w:afterAutospacing="0" w:line="400" w:lineRule="atLeast"/>
        <w:ind w:firstLine="360"/>
        <w:jc w:val="both"/>
        <w:divId w:val="1678997275"/>
        <w:rPr>
          <w:sz w:val="18"/>
          <w:szCs w:val="18"/>
        </w:rPr>
      </w:pPr>
      <w:r>
        <w:rPr>
          <w:rFonts w:hint="eastAsia"/>
          <w:sz w:val="18"/>
          <w:szCs w:val="18"/>
        </w:rPr>
        <w:t>本公司为取得合同发生的增量成本预期能够收回的，作为合同取得成本确认为一项资产；但是，该资产摊销不超过一年的可以在发生时计入当期损益。</w:t>
      </w:r>
    </w:p>
    <w:p w:rsidR="004A3B7E" w:rsidRPr="00E0094D" w:rsidRDefault="00452DEF" w:rsidP="00E0094D">
      <w:pPr>
        <w:pStyle w:val="a3"/>
        <w:spacing w:before="0" w:beforeAutospacing="0" w:after="0" w:afterAutospacing="0" w:line="400" w:lineRule="atLeast"/>
        <w:ind w:firstLine="360"/>
        <w:jc w:val="both"/>
        <w:divId w:val="1678997275"/>
        <w:rPr>
          <w:sz w:val="18"/>
          <w:szCs w:val="18"/>
        </w:rPr>
      </w:pPr>
      <w:r>
        <w:rPr>
          <w:rFonts w:hint="eastAsia"/>
          <w:sz w:val="18"/>
          <w:szCs w:val="18"/>
        </w:rPr>
        <w:t>与合同成本有关的资产采用与该资产相关的商品或服务收入确认相同的基础进行摊销。</w:t>
      </w:r>
    </w:p>
    <w:p w:rsidR="004A3B7E" w:rsidRPr="00E0094D" w:rsidRDefault="00452DEF" w:rsidP="00E0094D">
      <w:pPr>
        <w:pStyle w:val="a3"/>
        <w:spacing w:before="0" w:beforeAutospacing="0" w:after="0" w:afterAutospacing="0" w:line="400" w:lineRule="atLeast"/>
        <w:ind w:firstLine="360"/>
        <w:jc w:val="both"/>
        <w:divId w:val="1678997275"/>
        <w:rPr>
          <w:sz w:val="18"/>
          <w:szCs w:val="18"/>
        </w:rPr>
      </w:pPr>
      <w:r>
        <w:rPr>
          <w:rFonts w:hint="eastAsia"/>
          <w:sz w:val="18"/>
          <w:szCs w:val="18"/>
        </w:rPr>
        <w:t>与合同成本有关的资产，其账面价值高于下列两项的差额的，本公司将对于超出部分计提减值准备，并确认为资产减值损失：</w:t>
      </w:r>
    </w:p>
    <w:p w:rsidR="004A3B7E" w:rsidRPr="00E0094D" w:rsidRDefault="00452DEF" w:rsidP="00E0094D">
      <w:pPr>
        <w:pStyle w:val="a3"/>
        <w:spacing w:before="0" w:beforeAutospacing="0" w:after="0" w:afterAutospacing="0" w:line="400" w:lineRule="atLeast"/>
        <w:ind w:firstLine="360"/>
        <w:jc w:val="both"/>
        <w:divId w:val="1678997275"/>
        <w:rPr>
          <w:sz w:val="18"/>
          <w:szCs w:val="18"/>
        </w:rPr>
      </w:pPr>
      <w:r>
        <w:rPr>
          <w:rFonts w:hint="eastAsia"/>
          <w:sz w:val="18"/>
          <w:szCs w:val="18"/>
        </w:rPr>
        <w:lastRenderedPageBreak/>
        <w:t>（1）因转让与该资产相关的商品或服务预期能够取得的剩余对价；</w:t>
      </w:r>
    </w:p>
    <w:p w:rsidR="004A3B7E" w:rsidRPr="00E0094D" w:rsidRDefault="00452DEF" w:rsidP="00E0094D">
      <w:pPr>
        <w:pStyle w:val="a3"/>
        <w:spacing w:before="0" w:beforeAutospacing="0" w:after="0" w:afterAutospacing="0" w:line="400" w:lineRule="atLeast"/>
        <w:ind w:firstLine="360"/>
        <w:jc w:val="both"/>
        <w:divId w:val="1678997275"/>
        <w:rPr>
          <w:sz w:val="18"/>
          <w:szCs w:val="18"/>
        </w:rPr>
      </w:pPr>
      <w:r>
        <w:rPr>
          <w:rFonts w:hint="eastAsia"/>
          <w:sz w:val="18"/>
          <w:szCs w:val="18"/>
        </w:rPr>
        <w:t>（2）为转让该相关商品或服务估计将要发生的成本。</w:t>
      </w:r>
    </w:p>
    <w:p w:rsidR="004A3B7E" w:rsidRPr="00E0094D" w:rsidRDefault="00452DEF" w:rsidP="00E0094D">
      <w:pPr>
        <w:pStyle w:val="a3"/>
        <w:spacing w:before="0" w:beforeAutospacing="0" w:after="0" w:afterAutospacing="0" w:line="400" w:lineRule="atLeast"/>
        <w:ind w:firstLine="360"/>
        <w:jc w:val="both"/>
        <w:divId w:val="1678997275"/>
        <w:rPr>
          <w:sz w:val="18"/>
          <w:szCs w:val="18"/>
        </w:rPr>
      </w:pPr>
      <w:r>
        <w:rPr>
          <w:rFonts w:hint="eastAsia"/>
          <w:sz w:val="18"/>
          <w:szCs w:val="18"/>
        </w:rPr>
        <w:t>上述资产减值准备后续发生转回的，转回后的资产账面价值不超过假定不计提减值准备情况下该资产在转回日的账面价值。</w:t>
      </w:r>
    </w:p>
    <w:p w:rsidR="00BD1BB9" w:rsidRDefault="00452DEF">
      <w:pPr>
        <w:pStyle w:val="3"/>
        <w:spacing w:line="280" w:lineRule="exact"/>
        <w:jc w:val="left"/>
        <w:rPr>
          <w:rFonts w:ascii="宋体" w:hAnsi="宋体" w:cs="宋体"/>
          <w:b/>
          <w:bCs/>
        </w:rPr>
      </w:pPr>
      <w:bookmarkStart w:id="156" w:name="_Toc989026"/>
      <w:r>
        <w:rPr>
          <w:rFonts w:ascii="宋体" w:hAnsi="宋体" w:cs="宋体"/>
          <w:b/>
          <w:bCs/>
        </w:rPr>
        <w:t>28、政府补助</w:t>
      </w:r>
      <w:bookmarkEnd w:id="156"/>
    </w:p>
    <w:p w:rsidR="004A3B7E" w:rsidRPr="00E0094D" w:rsidRDefault="00452DEF" w:rsidP="00E0094D">
      <w:pPr>
        <w:pStyle w:val="a3"/>
        <w:spacing w:before="0" w:beforeAutospacing="0" w:after="0" w:afterAutospacing="0" w:line="400" w:lineRule="atLeast"/>
        <w:ind w:firstLine="360"/>
        <w:jc w:val="both"/>
        <w:divId w:val="1603873854"/>
        <w:rPr>
          <w:sz w:val="18"/>
          <w:szCs w:val="18"/>
        </w:rPr>
      </w:pPr>
      <w:r>
        <w:rPr>
          <w:rFonts w:hint="eastAsia"/>
          <w:sz w:val="18"/>
          <w:szCs w:val="18"/>
        </w:rPr>
        <w:t>政府补助是指本公司从政府无偿取得货币性资产和非货币性资产，不包括政府以投资者身份并享有相应所有者权益而投入的资本。政府补助分为与资产相关的政府补助和与收益相关的政府补助。本公司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1）政府文件明确了补助所针对的特定项目的，根据该特定项目的预算中将形成资产的支出金额和计入费用的支出金额的相对比例进行划分，对该划分比例需在每个资产负债表日进行复核，必要时进行变更；（2）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rsidR="004A3B7E" w:rsidRPr="00E0094D" w:rsidRDefault="00452DEF" w:rsidP="00E0094D">
      <w:pPr>
        <w:pStyle w:val="a3"/>
        <w:spacing w:before="0" w:beforeAutospacing="0" w:after="0" w:afterAutospacing="0" w:line="400" w:lineRule="atLeast"/>
        <w:ind w:firstLine="360"/>
        <w:jc w:val="both"/>
        <w:divId w:val="1603873854"/>
        <w:rPr>
          <w:sz w:val="18"/>
          <w:szCs w:val="18"/>
        </w:rPr>
      </w:pPr>
      <w:r>
        <w:rPr>
          <w:rFonts w:hint="eastAsia"/>
          <w:sz w:val="18"/>
          <w:szCs w:val="18"/>
        </w:rPr>
        <w:t>本公司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1）应收补助款的金额已经过有权政府部门发文确认，或者可根据正式发布的财政资金管理办法的有关规定自行合理测算，且预计其金额不存在重大不确定性；（2）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3）相关的补助款批文中已明确承诺了拨付期限，且该款项的拨付是有相应财政预算作为保障的，因而可以合理保证其可在规定期限内收到；（4）根据本公司和该补助事项的具体情况，应满足的其他相关条件（如有）。</w:t>
      </w:r>
    </w:p>
    <w:p w:rsidR="004A3B7E" w:rsidRPr="00E0094D" w:rsidRDefault="00452DEF" w:rsidP="00E0094D">
      <w:pPr>
        <w:pStyle w:val="a3"/>
        <w:spacing w:before="0" w:beforeAutospacing="0" w:after="0" w:afterAutospacing="0" w:line="400" w:lineRule="atLeast"/>
        <w:ind w:firstLine="360"/>
        <w:jc w:val="both"/>
        <w:divId w:val="1603873854"/>
        <w:rPr>
          <w:sz w:val="18"/>
          <w:szCs w:val="18"/>
        </w:rPr>
      </w:pPr>
      <w:r>
        <w:rPr>
          <w:rFonts w:hint="eastAsia"/>
          <w:sz w:val="18"/>
          <w:szCs w:val="18"/>
        </w:rPr>
        <w:t>与资产相关的政府补助，确认为递延收益，并在相关资产的使用寿命内按照合理、系统的方法分期计入当期损益。与收益相关的政府补助，用于补偿以后期间的相关成本费用或损失的，确认为递延收益，并在确认相关成本费用或损失的期间计入当期损益；用于补偿已经发生的相关成本费用或损失的，直接计入当期损益。</w:t>
      </w:r>
    </w:p>
    <w:p w:rsidR="004A3B7E" w:rsidRPr="00E0094D" w:rsidRDefault="00452DEF" w:rsidP="00E0094D">
      <w:pPr>
        <w:pStyle w:val="a3"/>
        <w:spacing w:before="0" w:beforeAutospacing="0" w:after="0" w:afterAutospacing="0" w:line="400" w:lineRule="atLeast"/>
        <w:ind w:firstLine="360"/>
        <w:jc w:val="both"/>
        <w:divId w:val="1603873854"/>
        <w:rPr>
          <w:sz w:val="18"/>
          <w:szCs w:val="18"/>
        </w:rPr>
      </w:pPr>
      <w:r>
        <w:rPr>
          <w:rFonts w:hint="eastAsia"/>
          <w:sz w:val="18"/>
          <w:szCs w:val="18"/>
        </w:rPr>
        <w:t>同时包含与资产相关部分和与收益相关部分的政府补助，区分不同部分分别进行会计处理；难以区分的，将其整体归类为与收益相关的政府补助。</w:t>
      </w:r>
    </w:p>
    <w:p w:rsidR="004A3B7E" w:rsidRPr="00E0094D" w:rsidRDefault="00452DEF" w:rsidP="00E0094D">
      <w:pPr>
        <w:pStyle w:val="a3"/>
        <w:spacing w:before="0" w:beforeAutospacing="0" w:after="0" w:afterAutospacing="0" w:line="400" w:lineRule="atLeast"/>
        <w:ind w:firstLine="360"/>
        <w:jc w:val="both"/>
        <w:divId w:val="1603873854"/>
        <w:rPr>
          <w:sz w:val="18"/>
          <w:szCs w:val="18"/>
        </w:rPr>
      </w:pPr>
      <w:r>
        <w:rPr>
          <w:rFonts w:hint="eastAsia"/>
          <w:sz w:val="18"/>
          <w:szCs w:val="18"/>
        </w:rPr>
        <w:t>与本公司日常活动相关的政府补助，按照经济业务的实质，计入其他收益或冲减相关成本费用；与日常活动无关的政府补助，计入营业外收支。</w:t>
      </w:r>
    </w:p>
    <w:p w:rsidR="004A3B7E" w:rsidRPr="00E0094D" w:rsidRDefault="00452DEF" w:rsidP="00E0094D">
      <w:pPr>
        <w:pStyle w:val="a3"/>
        <w:spacing w:before="0" w:beforeAutospacing="0" w:after="0" w:afterAutospacing="0" w:line="400" w:lineRule="atLeast"/>
        <w:ind w:firstLine="360"/>
        <w:jc w:val="both"/>
        <w:divId w:val="1603873854"/>
        <w:rPr>
          <w:sz w:val="18"/>
          <w:szCs w:val="18"/>
        </w:rPr>
      </w:pPr>
      <w:r>
        <w:rPr>
          <w:rFonts w:hint="eastAsia"/>
          <w:sz w:val="18"/>
          <w:szCs w:val="18"/>
        </w:rPr>
        <w:t>已确认的政府补助需要退回时，存在相关递延收益余额的，冲减相关递延收益账面余额，超出部分计入当期损益；属于其他情况的，直接计入当期损益。</w:t>
      </w:r>
    </w:p>
    <w:p w:rsidR="00BD1BB9" w:rsidRDefault="00452DEF">
      <w:pPr>
        <w:pStyle w:val="3"/>
        <w:spacing w:line="280" w:lineRule="exact"/>
        <w:jc w:val="left"/>
        <w:rPr>
          <w:rFonts w:ascii="宋体" w:hAnsi="宋体" w:cs="宋体"/>
          <w:b/>
          <w:bCs/>
        </w:rPr>
      </w:pPr>
      <w:bookmarkStart w:id="157" w:name="_Toc989027"/>
      <w:r>
        <w:rPr>
          <w:rFonts w:ascii="宋体" w:hAnsi="宋体" w:cs="宋体"/>
          <w:b/>
          <w:bCs/>
        </w:rPr>
        <w:lastRenderedPageBreak/>
        <w:t>29、递延所得税资产/递延所得税负债</w:t>
      </w:r>
      <w:bookmarkEnd w:id="157"/>
    </w:p>
    <w:p w:rsidR="004A3B7E" w:rsidRPr="00E0094D" w:rsidRDefault="00452DEF" w:rsidP="00E0094D">
      <w:pPr>
        <w:pStyle w:val="a3"/>
        <w:spacing w:before="0" w:beforeAutospacing="0" w:after="0" w:afterAutospacing="0" w:line="400" w:lineRule="atLeast"/>
        <w:ind w:firstLine="360"/>
        <w:jc w:val="both"/>
        <w:divId w:val="1796102459"/>
        <w:rPr>
          <w:sz w:val="18"/>
          <w:szCs w:val="18"/>
        </w:rPr>
      </w:pPr>
      <w:r>
        <w:rPr>
          <w:rFonts w:hint="eastAsia"/>
          <w:sz w:val="18"/>
          <w:szCs w:val="18"/>
        </w:rPr>
        <w:t xml:space="preserve">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 </w:t>
      </w:r>
    </w:p>
    <w:p w:rsidR="004A3B7E" w:rsidRPr="00E0094D" w:rsidRDefault="00452DEF" w:rsidP="00E0094D">
      <w:pPr>
        <w:pStyle w:val="a3"/>
        <w:spacing w:before="0" w:beforeAutospacing="0" w:after="0" w:afterAutospacing="0" w:line="400" w:lineRule="atLeast"/>
        <w:ind w:firstLine="360"/>
        <w:jc w:val="both"/>
        <w:divId w:val="1796102459"/>
        <w:rPr>
          <w:sz w:val="18"/>
          <w:szCs w:val="18"/>
        </w:rPr>
      </w:pPr>
      <w:r>
        <w:rPr>
          <w:rFonts w:hint="eastAsia"/>
          <w:sz w:val="18"/>
          <w:szCs w:val="18"/>
        </w:rPr>
        <w:t xml:space="preserve">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 </w:t>
      </w:r>
    </w:p>
    <w:p w:rsidR="004A3B7E" w:rsidRPr="00E0094D" w:rsidRDefault="00452DEF" w:rsidP="00E0094D">
      <w:pPr>
        <w:pStyle w:val="a3"/>
        <w:spacing w:before="0" w:beforeAutospacing="0" w:after="0" w:afterAutospacing="0" w:line="400" w:lineRule="atLeast"/>
        <w:ind w:firstLine="360"/>
        <w:jc w:val="both"/>
        <w:divId w:val="1796102459"/>
        <w:rPr>
          <w:sz w:val="18"/>
          <w:szCs w:val="18"/>
        </w:rPr>
      </w:pPr>
      <w:r>
        <w:rPr>
          <w:rFonts w:hint="eastAsia"/>
          <w:sz w:val="18"/>
          <w:szCs w:val="18"/>
        </w:rPr>
        <w:t xml:space="preserve">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 </w:t>
      </w:r>
    </w:p>
    <w:p w:rsidR="004A3B7E" w:rsidRPr="00E0094D" w:rsidRDefault="00452DEF" w:rsidP="00E0094D">
      <w:pPr>
        <w:pStyle w:val="a3"/>
        <w:spacing w:before="0" w:beforeAutospacing="0" w:after="0" w:afterAutospacing="0" w:line="400" w:lineRule="atLeast"/>
        <w:ind w:firstLine="360"/>
        <w:jc w:val="both"/>
        <w:divId w:val="1796102459"/>
        <w:rPr>
          <w:sz w:val="18"/>
          <w:szCs w:val="18"/>
        </w:rPr>
      </w:pPr>
      <w:r>
        <w:rPr>
          <w:rFonts w:hint="eastAsia"/>
          <w:sz w:val="18"/>
          <w:szCs w:val="18"/>
        </w:rPr>
        <w:t>本公司当期所得税和递延所得税作为所得税费用或收益计入当期损益，但不包括下列情况产生的所得税：企业合并；直接在所有者权益中确认的交易或者事项。</w:t>
      </w:r>
    </w:p>
    <w:p w:rsidR="004A3B7E" w:rsidRPr="00E0094D" w:rsidRDefault="00452DEF" w:rsidP="00E0094D">
      <w:pPr>
        <w:pStyle w:val="a3"/>
        <w:spacing w:before="0" w:beforeAutospacing="0" w:after="0" w:afterAutospacing="0" w:line="400" w:lineRule="atLeast"/>
        <w:ind w:firstLine="360"/>
        <w:jc w:val="both"/>
        <w:divId w:val="1796102459"/>
        <w:rPr>
          <w:sz w:val="18"/>
          <w:szCs w:val="18"/>
        </w:rPr>
      </w:pPr>
      <w:r>
        <w:rPr>
          <w:rFonts w:hint="eastAsia"/>
          <w:sz w:val="18"/>
          <w:szCs w:val="18"/>
        </w:rPr>
        <w:t>当拥有以净额结算的法定权利，且意图以净额结算或取得资产、清偿负债同时进行时，本公司当期所得税资产及当期所得税负债以抵销后的净额列报。</w:t>
      </w:r>
    </w:p>
    <w:p w:rsidR="00BD1BB9" w:rsidRDefault="00452DEF">
      <w:pPr>
        <w:pStyle w:val="3"/>
        <w:spacing w:line="280" w:lineRule="exact"/>
        <w:jc w:val="left"/>
        <w:rPr>
          <w:rFonts w:ascii="宋体" w:hAnsi="宋体" w:cs="宋体"/>
          <w:b/>
          <w:bCs/>
        </w:rPr>
      </w:pPr>
      <w:bookmarkStart w:id="158" w:name="_Toc989028"/>
      <w:r>
        <w:rPr>
          <w:rFonts w:ascii="宋体" w:hAnsi="宋体" w:cs="宋体"/>
          <w:b/>
          <w:bCs/>
        </w:rPr>
        <w:t>30、租赁</w:t>
      </w:r>
      <w:bookmarkEnd w:id="158"/>
    </w:p>
    <w:p w:rsidR="00BD1BB9" w:rsidRDefault="00452DEF">
      <w:pPr>
        <w:keepNext/>
        <w:keepLines/>
        <w:spacing w:before="300" w:after="300" w:line="280" w:lineRule="exact"/>
        <w:outlineLvl w:val="3"/>
        <w:rPr>
          <w:rFonts w:ascii="宋体" w:eastAsia="宋体" w:hAnsi="宋体" w:cs="宋体"/>
          <w:b/>
          <w:bCs/>
          <w:szCs w:val="21"/>
        </w:rPr>
      </w:pPr>
      <w:bookmarkStart w:id="159" w:name="_Toc989029"/>
      <w:r>
        <w:rPr>
          <w:rFonts w:ascii="宋体" w:eastAsia="宋体" w:hAnsi="宋体" w:cs="宋体"/>
          <w:b/>
          <w:bCs/>
          <w:szCs w:val="21"/>
        </w:rPr>
        <w:t>（1） 作为承租方租赁的会计处理方法</w:t>
      </w:r>
      <w:bookmarkEnd w:id="159"/>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t xml:space="preserve">在租赁期开始日，本公司对除短期租赁和低价值资产租赁以外的租赁确认使用权资产和租赁负债，并在租赁期内分别确认折旧费用和利息费用。 </w:t>
      </w:r>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t>本公司在租赁期内各个期间采用直线法，将短期租赁和低价值资产租赁的租赁付款额计入当期费用。</w:t>
      </w:r>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t xml:space="preserve">①使用权资产 </w:t>
      </w:r>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t>使用权资产，是指承租人可在租赁期内使用租赁资产的权利。在租赁期开始日</w:t>
      </w:r>
      <w:r w:rsidR="00DD4A44">
        <w:rPr>
          <w:rFonts w:hint="eastAsia"/>
          <w:sz w:val="18"/>
          <w:szCs w:val="18"/>
        </w:rPr>
        <w:t>，</w:t>
      </w:r>
      <w:r>
        <w:rPr>
          <w:rFonts w:hint="eastAsia"/>
          <w:sz w:val="18"/>
          <w:szCs w:val="18"/>
        </w:rPr>
        <w:t>使用权资产按照成本进行初始计量。该成本包括：①租赁负债的初始计量金额；②在租赁期开始日或之前支付的租赁付款额，存在租赁激励的，扣除已享受的租赁激励相关金额；③承租人发生的初始直接费用；④承租人为拆卸及移除租赁资产、复原租赁资产所在场地或将租赁资产恢复至租赁条款约定状态预计将发生的成本。</w:t>
      </w:r>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t>本公司使用权资产折旧采用年限平均法分类计提。对于能合理确定租赁期届满时将会取得租赁资产所有权的，在租赁资产预计剩余使用寿命内计提折旧；对于无法合理确定租赁期届满时将会取得租赁资产所有权的，在租赁期与租赁资产剩余使用寿命两者孰短的期间内计提折旧。</w:t>
      </w:r>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t>本公司按照《企业会计准则第8号——资产减值》的相关规定来确定使用权资产是否已发生减值并进行会计处理。</w:t>
      </w:r>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t xml:space="preserve">②租赁负债 </w:t>
      </w:r>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t>租赁负债按照租赁期开始日尚未支付的租赁付款额的现值进行初始计量。租赁付款额包括：①固定付款额（包括实质固定付款额），存在租赁激励的，扣除租赁激励相关金额；②取决于指数或比率的可变租赁付款额；③根据承租人提供的担保余值预计应支付的款项；④购买选择权的行权价格，前提是承租人合理确定将行使该选择权；⑤行使终止租赁选择权需支付的款项，前提是租赁期反映出承租人将行使终止租赁选择权；</w:t>
      </w:r>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lastRenderedPageBreak/>
        <w:t>本公司采用租赁内含利率作为折现率；如果无法合理确定租赁内含利率的，则采用本公司的增量借款利率作为折现率。本公司按照固定的周期性利率计算租赁负债在租赁期内各期间的利息费用，并计入财务费用。该周期性利率是指公司所采用的折现率或修订后的折现率。</w:t>
      </w:r>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t>未纳入租赁负债计量的可变租赁付款额在实际发生时计入当期损益。</w:t>
      </w:r>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t>当本公司对续租选择权、终止租赁选择权或者购买选择权的评估结果发生变化的，则按变动后的租赁付款额和修订后的折现率计算的现值重新计量租赁负债，并相应调整使用权资产的账面价值。当实质租赁付款额、担保余值预计的应付金额或者取决于指数或比率的可变租赁付款额发生变动的，则按变动后的租赁付款额和原折现率计算的现值重新计量租赁负债，并相应调整使用权资产的账面价值。</w:t>
      </w:r>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t xml:space="preserve">③短期租赁和低价值资产租赁                                      </w:t>
      </w:r>
    </w:p>
    <w:p w:rsidR="004A3B7E" w:rsidRPr="00E0094D" w:rsidRDefault="00452DEF" w:rsidP="00E0094D">
      <w:pPr>
        <w:pStyle w:val="a3"/>
        <w:spacing w:before="0" w:beforeAutospacing="0" w:after="0" w:afterAutospacing="0" w:line="400" w:lineRule="atLeast"/>
        <w:ind w:firstLine="360"/>
        <w:jc w:val="both"/>
        <w:divId w:val="1420441080"/>
        <w:rPr>
          <w:sz w:val="18"/>
          <w:szCs w:val="18"/>
        </w:rPr>
      </w:pPr>
      <w:r>
        <w:rPr>
          <w:rFonts w:hint="eastAsia"/>
          <w:sz w:val="18"/>
          <w:szCs w:val="18"/>
        </w:rPr>
        <w:t>对于短期租赁（在租赁开始日租赁期不超过12个月的租赁）和低价值资产（价值低于2000元）租赁，本公司采取简化处理方法，不确认使用权资产和租赁负债，而在租赁期内各个期间按照直线法或其他系统合理的方法将租赁付款额计入相关资产成本或当期损益。</w:t>
      </w:r>
    </w:p>
    <w:p w:rsidR="00BD1BB9" w:rsidRDefault="00452DEF">
      <w:pPr>
        <w:keepNext/>
        <w:keepLines/>
        <w:spacing w:before="300" w:after="300" w:line="280" w:lineRule="exact"/>
        <w:outlineLvl w:val="3"/>
        <w:rPr>
          <w:rFonts w:ascii="宋体" w:eastAsia="宋体" w:hAnsi="宋体" w:cs="宋体"/>
          <w:b/>
          <w:bCs/>
          <w:szCs w:val="21"/>
        </w:rPr>
      </w:pPr>
      <w:bookmarkStart w:id="160" w:name="_Toc989030"/>
      <w:r>
        <w:rPr>
          <w:rFonts w:ascii="宋体" w:eastAsia="宋体" w:hAnsi="宋体" w:cs="宋体"/>
          <w:b/>
          <w:bCs/>
          <w:szCs w:val="21"/>
        </w:rPr>
        <w:t>（2） 作为出租方租赁的会计处理方法</w:t>
      </w:r>
      <w:bookmarkEnd w:id="160"/>
    </w:p>
    <w:p w:rsidR="004A3B7E" w:rsidRPr="00E0094D" w:rsidRDefault="00452DEF" w:rsidP="00E0094D">
      <w:pPr>
        <w:pStyle w:val="a3"/>
        <w:spacing w:before="0" w:beforeAutospacing="0" w:after="0" w:afterAutospacing="0" w:line="400" w:lineRule="atLeast"/>
        <w:ind w:firstLine="360"/>
        <w:jc w:val="both"/>
        <w:divId w:val="291446415"/>
        <w:rPr>
          <w:sz w:val="18"/>
          <w:szCs w:val="18"/>
        </w:rPr>
      </w:pPr>
      <w:r>
        <w:rPr>
          <w:rFonts w:hint="eastAsia"/>
          <w:sz w:val="18"/>
          <w:szCs w:val="18"/>
        </w:rPr>
        <w:t>①经营租赁</w:t>
      </w:r>
    </w:p>
    <w:p w:rsidR="004A3B7E" w:rsidRPr="00E0094D" w:rsidRDefault="00452DEF" w:rsidP="00E0094D">
      <w:pPr>
        <w:pStyle w:val="a3"/>
        <w:spacing w:before="0" w:beforeAutospacing="0" w:after="0" w:afterAutospacing="0" w:line="400" w:lineRule="atLeast"/>
        <w:ind w:firstLine="360"/>
        <w:jc w:val="both"/>
        <w:divId w:val="291446415"/>
        <w:rPr>
          <w:sz w:val="18"/>
          <w:szCs w:val="18"/>
        </w:rPr>
      </w:pPr>
      <w:r>
        <w:rPr>
          <w:rFonts w:hint="eastAsia"/>
          <w:sz w:val="18"/>
          <w:szCs w:val="18"/>
        </w:rPr>
        <w:t>本公司采用直线法将经营租赁的租赁收款额确认为租赁期内各期间的租金收入。与经营租赁有关的未计入租赁收款额的可变租赁付款额，于实际发生时计入当期损益。</w:t>
      </w:r>
    </w:p>
    <w:p w:rsidR="004A3B7E" w:rsidRPr="00E0094D" w:rsidRDefault="00452DEF" w:rsidP="00E0094D">
      <w:pPr>
        <w:pStyle w:val="a3"/>
        <w:spacing w:before="0" w:beforeAutospacing="0" w:after="0" w:afterAutospacing="0" w:line="400" w:lineRule="atLeast"/>
        <w:ind w:firstLine="360"/>
        <w:jc w:val="both"/>
        <w:divId w:val="291446415"/>
        <w:rPr>
          <w:sz w:val="18"/>
          <w:szCs w:val="18"/>
        </w:rPr>
      </w:pPr>
      <w:r>
        <w:rPr>
          <w:rFonts w:hint="eastAsia"/>
          <w:sz w:val="18"/>
          <w:szCs w:val="18"/>
        </w:rPr>
        <w:t>②融资租赁</w:t>
      </w:r>
    </w:p>
    <w:p w:rsidR="004A3B7E" w:rsidRPr="00E0094D" w:rsidRDefault="00452DEF" w:rsidP="00E0094D">
      <w:pPr>
        <w:pStyle w:val="a3"/>
        <w:spacing w:before="0" w:beforeAutospacing="0" w:after="0" w:afterAutospacing="0" w:line="400" w:lineRule="atLeast"/>
        <w:ind w:firstLine="360"/>
        <w:jc w:val="both"/>
        <w:divId w:val="291446415"/>
        <w:rPr>
          <w:sz w:val="18"/>
          <w:szCs w:val="18"/>
        </w:rPr>
      </w:pPr>
      <w:r>
        <w:rPr>
          <w:rFonts w:hint="eastAsia"/>
          <w:sz w:val="18"/>
          <w:szCs w:val="18"/>
        </w:rPr>
        <w:t>于租赁期开始日，本公司确认应收融资租赁款，并终止确认融资租赁资产。应收融资租赁款以租赁投资净额（未担保余值和租赁期开始日尚未收到的租赁收款额按照租赁内含利率折现的现值之和）进行初始计量，并按照固定的周期性利率计算确认租赁期内的利息收入。本公司取得的未纳入租赁投资净额计量的可变租赁付款额在实际发生时计入当期损益。</w:t>
      </w:r>
    </w:p>
    <w:p w:rsidR="00BD1BB9" w:rsidRDefault="00452DEF">
      <w:pPr>
        <w:pStyle w:val="3"/>
        <w:spacing w:line="280" w:lineRule="exact"/>
        <w:jc w:val="left"/>
        <w:rPr>
          <w:rFonts w:ascii="宋体" w:hAnsi="宋体" w:cs="宋体"/>
          <w:b/>
          <w:bCs/>
        </w:rPr>
      </w:pPr>
      <w:bookmarkStart w:id="161" w:name="_Toc989031"/>
      <w:r>
        <w:rPr>
          <w:rFonts w:ascii="宋体" w:hAnsi="宋体" w:cs="宋体"/>
          <w:b/>
          <w:bCs/>
        </w:rPr>
        <w:t>31、重要会计政策和会计估计变更</w:t>
      </w:r>
      <w:bookmarkEnd w:id="161"/>
    </w:p>
    <w:p w:rsidR="00BD1BB9" w:rsidRDefault="00452DEF">
      <w:pPr>
        <w:keepNext/>
        <w:keepLines/>
        <w:spacing w:before="300" w:after="300" w:line="280" w:lineRule="exact"/>
        <w:outlineLvl w:val="3"/>
        <w:rPr>
          <w:rFonts w:ascii="宋体" w:eastAsia="宋体" w:hAnsi="宋体" w:cs="宋体"/>
          <w:b/>
          <w:bCs/>
          <w:sz w:val="18"/>
          <w:szCs w:val="18"/>
        </w:rPr>
      </w:pPr>
      <w:bookmarkStart w:id="162" w:name="_Toc989032"/>
      <w:r>
        <w:rPr>
          <w:rFonts w:ascii="宋体" w:eastAsia="宋体" w:hAnsi="宋体" w:cs="宋体"/>
          <w:b/>
          <w:bCs/>
          <w:sz w:val="18"/>
          <w:szCs w:val="18"/>
        </w:rPr>
        <w:t>（1） 重要会计政策变更</w:t>
      </w:r>
      <w:bookmarkEnd w:id="162"/>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keepNext/>
        <w:keepLines/>
        <w:spacing w:before="300" w:after="300" w:line="280" w:lineRule="exact"/>
        <w:outlineLvl w:val="3"/>
        <w:rPr>
          <w:rFonts w:ascii="宋体" w:eastAsia="宋体" w:hAnsi="宋体" w:cs="宋体"/>
          <w:b/>
          <w:bCs/>
          <w:sz w:val="18"/>
          <w:szCs w:val="18"/>
        </w:rPr>
      </w:pPr>
      <w:bookmarkStart w:id="163" w:name="_Toc989033"/>
      <w:r>
        <w:rPr>
          <w:rFonts w:ascii="宋体" w:eastAsia="宋体" w:hAnsi="宋体" w:cs="宋体"/>
          <w:b/>
          <w:bCs/>
          <w:sz w:val="18"/>
          <w:szCs w:val="18"/>
        </w:rPr>
        <w:t>（2） 重要会计估计变更</w:t>
      </w:r>
      <w:bookmarkEnd w:id="163"/>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keepNext/>
        <w:keepLines/>
        <w:spacing w:before="300" w:after="300" w:line="280" w:lineRule="exact"/>
        <w:outlineLvl w:val="3"/>
        <w:rPr>
          <w:rFonts w:ascii="宋体" w:eastAsia="宋体" w:hAnsi="宋体" w:cs="宋体"/>
          <w:b/>
          <w:bCs/>
          <w:sz w:val="18"/>
          <w:szCs w:val="18"/>
        </w:rPr>
      </w:pPr>
      <w:bookmarkStart w:id="164" w:name="_Toc989034"/>
      <w:r>
        <w:rPr>
          <w:rFonts w:ascii="宋体" w:eastAsia="宋体" w:hAnsi="宋体" w:cs="宋体"/>
          <w:b/>
          <w:bCs/>
          <w:sz w:val="18"/>
          <w:szCs w:val="18"/>
        </w:rPr>
        <w:t>（3） 2025年起首次执行新会计准则调整首次执行当年年初财务报表相关项目情况</w:t>
      </w:r>
      <w:bookmarkEnd w:id="164"/>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165" w:name="_Toc989035"/>
      <w:r>
        <w:rPr>
          <w:rFonts w:ascii="宋体" w:eastAsia="宋体" w:hAnsi="宋体" w:cs="宋体"/>
          <w:b/>
          <w:bCs/>
          <w:sz w:val="24"/>
          <w:szCs w:val="24"/>
        </w:rPr>
        <w:lastRenderedPageBreak/>
        <w:t>六、税项</w:t>
      </w:r>
      <w:bookmarkEnd w:id="165"/>
    </w:p>
    <w:p w:rsidR="00BD1BB9" w:rsidRDefault="00452DEF">
      <w:pPr>
        <w:pStyle w:val="3"/>
        <w:spacing w:line="280" w:lineRule="exact"/>
        <w:jc w:val="left"/>
        <w:rPr>
          <w:rFonts w:ascii="宋体" w:hAnsi="宋体" w:cs="宋体"/>
          <w:b/>
          <w:bCs/>
        </w:rPr>
      </w:pPr>
      <w:bookmarkStart w:id="166" w:name="_Toc989036"/>
      <w:r>
        <w:rPr>
          <w:rFonts w:ascii="宋体" w:hAnsi="宋体" w:cs="宋体"/>
          <w:b/>
          <w:bCs/>
        </w:rPr>
        <w:t>1、主要税种及税率</w:t>
      </w:r>
      <w:bookmarkEnd w:id="166"/>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税率</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增值税计税销售额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E0094D">
            <w:pPr>
              <w:spacing w:line="240" w:lineRule="exact"/>
              <w:jc w:val="both"/>
              <w:rPr>
                <w:rFonts w:ascii="宋体" w:eastAsia="宋体" w:hAnsi="宋体" w:cs="宋体"/>
                <w:sz w:val="18"/>
                <w:szCs w:val="18"/>
              </w:rPr>
            </w:pPr>
            <w:r>
              <w:rPr>
                <w:rFonts w:ascii="宋体" w:eastAsia="宋体" w:hAnsi="宋体" w:cs="宋体"/>
                <w:sz w:val="18"/>
                <w:szCs w:val="18"/>
              </w:rPr>
              <w:t>工业产品销售应税收入按13%的税率计算销项税；投资管理业务应税收入按6%的税率计算销项税；码头业务应税收入按6%的税率计算销项税；并按扣除当期允许抵扣的进项税额后的差额计缴增值税。</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5%、7%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按应纳税所得额计缴/详见下表。</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5%</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存在不同企业所得税税率纳税主体的，披露情况说明</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纳税主体名称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所得税税率</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25%</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15%</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江阴华西村资本有限公司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25%</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25%</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25%</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上海鑫华汐实业有限公司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25%</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江阴市旭华化工贸易有限公司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25%</w:t>
            </w:r>
          </w:p>
        </w:tc>
      </w:tr>
    </w:tbl>
    <w:p w:rsidR="00BD1BB9" w:rsidRDefault="00452DEF">
      <w:pPr>
        <w:pStyle w:val="3"/>
        <w:spacing w:line="280" w:lineRule="exact"/>
        <w:jc w:val="left"/>
        <w:rPr>
          <w:rFonts w:ascii="宋体" w:hAnsi="宋体" w:cs="宋体"/>
          <w:b/>
          <w:bCs/>
        </w:rPr>
      </w:pPr>
      <w:bookmarkStart w:id="167" w:name="_Toc989037"/>
      <w:r>
        <w:rPr>
          <w:rFonts w:ascii="宋体" w:hAnsi="宋体" w:cs="宋体"/>
          <w:b/>
          <w:bCs/>
        </w:rPr>
        <w:t>2、税收优惠</w:t>
      </w:r>
      <w:bookmarkEnd w:id="167"/>
    </w:p>
    <w:p w:rsidR="004A3B7E" w:rsidRDefault="00452DEF">
      <w:pPr>
        <w:pStyle w:val="a3"/>
        <w:spacing w:before="0" w:beforeAutospacing="0" w:after="0" w:afterAutospacing="0" w:line="400" w:lineRule="atLeast"/>
        <w:ind w:firstLine="360"/>
        <w:jc w:val="both"/>
        <w:textAlignment w:val="bottom"/>
        <w:divId w:val="1979801503"/>
      </w:pPr>
      <w:r>
        <w:rPr>
          <w:rFonts w:hint="eastAsia"/>
          <w:sz w:val="18"/>
          <w:szCs w:val="18"/>
        </w:rPr>
        <w:t>根据《中华人民共和国企业所得税法》的规定，对国家需要重点扶持的高新技术企业，减按 15%的税率征收企业所得税。本公司的子公司江阴华西化工码头有限公司于2023年12月获得高新技术企业证书，有效期3年，2025年度享受高新技术企业减按15%税率征收企业所得税的税收优惠政策。</w:t>
      </w:r>
    </w:p>
    <w:p w:rsidR="00BD1BB9" w:rsidRDefault="00452DEF">
      <w:pPr>
        <w:pStyle w:val="2"/>
        <w:spacing w:before="300" w:after="300" w:line="320" w:lineRule="exact"/>
        <w:rPr>
          <w:rFonts w:ascii="宋体" w:eastAsia="宋体" w:hAnsi="宋体" w:cs="宋体"/>
          <w:b/>
          <w:bCs/>
          <w:sz w:val="24"/>
          <w:szCs w:val="24"/>
        </w:rPr>
      </w:pPr>
      <w:bookmarkStart w:id="168" w:name="_Toc989038"/>
      <w:r>
        <w:rPr>
          <w:rFonts w:ascii="宋体" w:eastAsia="宋体" w:hAnsi="宋体" w:cs="宋体"/>
          <w:b/>
          <w:bCs/>
          <w:sz w:val="24"/>
          <w:szCs w:val="24"/>
        </w:rPr>
        <w:t>七、合并财务报表项目注释</w:t>
      </w:r>
      <w:bookmarkEnd w:id="168"/>
    </w:p>
    <w:p w:rsidR="00BD1BB9" w:rsidRDefault="00452DEF">
      <w:pPr>
        <w:pStyle w:val="3"/>
        <w:spacing w:line="280" w:lineRule="exact"/>
        <w:jc w:val="left"/>
        <w:rPr>
          <w:rFonts w:ascii="宋体" w:hAnsi="宋体" w:cs="宋体"/>
          <w:b/>
          <w:bCs/>
        </w:rPr>
      </w:pPr>
      <w:bookmarkStart w:id="169" w:name="_Toc989039"/>
      <w:r>
        <w:rPr>
          <w:rFonts w:ascii="宋体" w:hAnsi="宋体" w:cs="宋体"/>
          <w:b/>
          <w:bCs/>
        </w:rPr>
        <w:t>1、货币资金</w:t>
      </w:r>
      <w:bookmarkEnd w:id="169"/>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368,056,759.55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242,616,392.69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318,741,623.04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199,162,522.14</w:t>
            </w:r>
          </w:p>
        </w:tc>
      </w:tr>
      <w:tr w:rsidR="00F84AE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84AE3" w:rsidRDefault="00F84AE3">
            <w:pPr>
              <w:spacing w:before="40" w:after="40" w:line="240" w:lineRule="exact"/>
              <w:rPr>
                <w:rFonts w:ascii="宋体" w:eastAsia="宋体" w:hAnsi="宋体" w:cs="宋体"/>
                <w:sz w:val="18"/>
                <w:szCs w:val="18"/>
              </w:rPr>
            </w:pPr>
            <w:r>
              <w:rPr>
                <w:rFonts w:ascii="宋体" w:eastAsia="宋体" w:hAnsi="宋体" w:cs="宋体"/>
                <w:sz w:val="18"/>
                <w:szCs w:val="18"/>
              </w:rPr>
              <w:t>存放财务公司款项</w:t>
            </w:r>
          </w:p>
        </w:tc>
        <w:tc>
          <w:tcPr>
            <w:tcW w:w="3213"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F84AE3" w:rsidRDefault="00F84AE3">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686,798,382.59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441,778,914.83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其中：存放在境外的款项总额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4A3B7E" w:rsidRDefault="00452DEF">
      <w:pPr>
        <w:pStyle w:val="a3"/>
        <w:spacing w:before="120" w:beforeAutospacing="0" w:after="120" w:afterAutospacing="0"/>
        <w:ind w:firstLine="360"/>
        <w:jc w:val="both"/>
        <w:divId w:val="238714860"/>
        <w:rPr>
          <w:rFonts w:ascii="Times New Roman" w:hAnsi="Times New Roman" w:cs="Times New Roman"/>
          <w:sz w:val="21"/>
          <w:szCs w:val="21"/>
        </w:rPr>
      </w:pPr>
      <w:r>
        <w:rPr>
          <w:rFonts w:cs="Times New Roman" w:hint="eastAsia"/>
          <w:sz w:val="18"/>
          <w:szCs w:val="18"/>
        </w:rPr>
        <w:t>其他货币资金明细：                                                单位：元</w:t>
      </w:r>
    </w:p>
    <w:tbl>
      <w:tblPr>
        <w:tblW w:w="9494" w:type="dxa"/>
        <w:jc w:val="center"/>
        <w:tblInd w:w="-224" w:type="dxa"/>
        <w:tblCellMar>
          <w:left w:w="0" w:type="dxa"/>
          <w:right w:w="0" w:type="dxa"/>
        </w:tblCellMar>
        <w:tblLook w:val="04A0" w:firstRow="1" w:lastRow="0" w:firstColumn="1" w:lastColumn="0" w:noHBand="0" w:noVBand="1"/>
      </w:tblPr>
      <w:tblGrid>
        <w:gridCol w:w="4119"/>
        <w:gridCol w:w="2725"/>
        <w:gridCol w:w="2650"/>
      </w:tblGrid>
      <w:tr w:rsidR="004A3B7E" w:rsidTr="00E0094D">
        <w:trPr>
          <w:divId w:val="238714860"/>
          <w:trHeight w:val="360"/>
          <w:tblHeader/>
          <w:jc w:val="center"/>
        </w:trPr>
        <w:tc>
          <w:tcPr>
            <w:tcW w:w="411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  目</w:t>
            </w:r>
          </w:p>
        </w:tc>
        <w:tc>
          <w:tcPr>
            <w:tcW w:w="27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c>
          <w:tcPr>
            <w:tcW w:w="26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期初余额</w:t>
            </w:r>
          </w:p>
        </w:tc>
      </w:tr>
      <w:tr w:rsidR="004A3B7E" w:rsidTr="00E0094D">
        <w:trPr>
          <w:divId w:val="238714860"/>
          <w:trHeight w:val="360"/>
          <w:jc w:val="center"/>
        </w:trPr>
        <w:tc>
          <w:tcPr>
            <w:tcW w:w="4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借款保证金</w:t>
            </w:r>
          </w:p>
        </w:tc>
        <w:tc>
          <w:tcPr>
            <w:tcW w:w="27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246,200,000.00</w:t>
            </w:r>
          </w:p>
        </w:tc>
        <w:tc>
          <w:tcPr>
            <w:tcW w:w="26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66,200,000.00</w:t>
            </w:r>
          </w:p>
        </w:tc>
      </w:tr>
      <w:tr w:rsidR="004A3B7E" w:rsidTr="00E0094D">
        <w:trPr>
          <w:divId w:val="238714860"/>
          <w:trHeight w:val="360"/>
          <w:jc w:val="center"/>
        </w:trPr>
        <w:tc>
          <w:tcPr>
            <w:tcW w:w="4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lastRenderedPageBreak/>
              <w:t>国际信用证保证金</w:t>
            </w:r>
          </w:p>
        </w:tc>
        <w:tc>
          <w:tcPr>
            <w:tcW w:w="27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23,023,775.66</w:t>
            </w:r>
          </w:p>
        </w:tc>
        <w:tc>
          <w:tcPr>
            <w:tcW w:w="26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33,016,427.67</w:t>
            </w:r>
          </w:p>
        </w:tc>
      </w:tr>
      <w:tr w:rsidR="004A3B7E" w:rsidTr="00E0094D">
        <w:trPr>
          <w:divId w:val="238714860"/>
          <w:trHeight w:val="360"/>
          <w:jc w:val="center"/>
        </w:trPr>
        <w:tc>
          <w:tcPr>
            <w:tcW w:w="4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用于质押的定期存款</w:t>
            </w:r>
          </w:p>
        </w:tc>
        <w:tc>
          <w:tcPr>
            <w:tcW w:w="2725" w:type="dxa"/>
            <w:tcBorders>
              <w:top w:val="nil"/>
              <w:left w:val="nil"/>
              <w:bottom w:val="single" w:sz="8" w:space="0" w:color="auto"/>
              <w:right w:val="single" w:sz="8" w:space="0" w:color="auto"/>
            </w:tcBorders>
            <w:noWrap/>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30,000,000.00</w:t>
            </w:r>
          </w:p>
        </w:tc>
        <w:tc>
          <w:tcPr>
            <w:tcW w:w="2650" w:type="dxa"/>
            <w:tcBorders>
              <w:top w:val="nil"/>
              <w:left w:val="nil"/>
              <w:bottom w:val="single" w:sz="8" w:space="0" w:color="auto"/>
              <w:right w:val="single" w:sz="8" w:space="0" w:color="auto"/>
            </w:tcBorders>
            <w:noWrap/>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30,000,000.00</w:t>
            </w:r>
          </w:p>
        </w:tc>
      </w:tr>
      <w:tr w:rsidR="004A3B7E" w:rsidTr="00E0094D">
        <w:trPr>
          <w:divId w:val="238714860"/>
          <w:trHeight w:val="360"/>
          <w:jc w:val="center"/>
        </w:trPr>
        <w:tc>
          <w:tcPr>
            <w:tcW w:w="4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存出投资款</w:t>
            </w:r>
          </w:p>
        </w:tc>
        <w:tc>
          <w:tcPr>
            <w:tcW w:w="2725" w:type="dxa"/>
            <w:tcBorders>
              <w:top w:val="nil"/>
              <w:left w:val="nil"/>
              <w:bottom w:val="single" w:sz="8" w:space="0" w:color="auto"/>
              <w:right w:val="single" w:sz="8" w:space="0" w:color="auto"/>
            </w:tcBorders>
            <w:noWrap/>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19,425,751.49</w:t>
            </w:r>
          </w:p>
        </w:tc>
        <w:tc>
          <w:tcPr>
            <w:tcW w:w="2650" w:type="dxa"/>
            <w:tcBorders>
              <w:top w:val="nil"/>
              <w:left w:val="nil"/>
              <w:bottom w:val="single" w:sz="8" w:space="0" w:color="auto"/>
              <w:right w:val="single" w:sz="8" w:space="0" w:color="auto"/>
            </w:tcBorders>
            <w:noWrap/>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69,831,458.20</w:t>
            </w:r>
          </w:p>
        </w:tc>
      </w:tr>
      <w:tr w:rsidR="004A3B7E" w:rsidTr="00E0094D">
        <w:trPr>
          <w:divId w:val="238714860"/>
          <w:trHeight w:val="360"/>
          <w:jc w:val="center"/>
        </w:trPr>
        <w:tc>
          <w:tcPr>
            <w:tcW w:w="4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存款应计利息</w:t>
            </w:r>
          </w:p>
        </w:tc>
        <w:tc>
          <w:tcPr>
            <w:tcW w:w="2725" w:type="dxa"/>
            <w:tcBorders>
              <w:top w:val="nil"/>
              <w:left w:val="nil"/>
              <w:bottom w:val="single" w:sz="8" w:space="0" w:color="auto"/>
              <w:right w:val="single" w:sz="8" w:space="0" w:color="auto"/>
            </w:tcBorders>
            <w:noWrap/>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92,095.89</w:t>
            </w:r>
          </w:p>
        </w:tc>
        <w:tc>
          <w:tcPr>
            <w:tcW w:w="2650" w:type="dxa"/>
            <w:tcBorders>
              <w:top w:val="nil"/>
              <w:left w:val="nil"/>
              <w:bottom w:val="single" w:sz="8" w:space="0" w:color="auto"/>
              <w:right w:val="single" w:sz="8" w:space="0" w:color="auto"/>
            </w:tcBorders>
            <w:noWrap/>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114,636.27</w:t>
            </w:r>
          </w:p>
        </w:tc>
      </w:tr>
      <w:tr w:rsidR="004A3B7E" w:rsidTr="00E0094D">
        <w:trPr>
          <w:divId w:val="238714860"/>
          <w:trHeight w:val="360"/>
          <w:jc w:val="center"/>
        </w:trPr>
        <w:tc>
          <w:tcPr>
            <w:tcW w:w="4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w:t>
            </w:r>
            <w:r w:rsidR="00E0094D">
              <w:rPr>
                <w:rFonts w:cs="Times New Roman" w:hint="eastAsia"/>
                <w:sz w:val="18"/>
                <w:szCs w:val="18"/>
              </w:rPr>
              <w:t xml:space="preserve">  </w:t>
            </w:r>
            <w:r>
              <w:rPr>
                <w:rFonts w:cs="Times New Roman" w:hint="eastAsia"/>
                <w:sz w:val="18"/>
                <w:szCs w:val="18"/>
              </w:rPr>
              <w:t>计</w:t>
            </w:r>
          </w:p>
        </w:tc>
        <w:tc>
          <w:tcPr>
            <w:tcW w:w="2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318,741,623.04</w:t>
            </w:r>
          </w:p>
        </w:tc>
        <w:tc>
          <w:tcPr>
            <w:tcW w:w="2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199,162,522.14</w:t>
            </w:r>
          </w:p>
        </w:tc>
      </w:tr>
    </w:tbl>
    <w:p w:rsidR="004A3B7E" w:rsidRDefault="00452DEF" w:rsidP="00E0094D">
      <w:pPr>
        <w:pStyle w:val="a3"/>
        <w:spacing w:before="0" w:beforeAutospacing="0" w:after="0" w:afterAutospacing="0" w:line="276" w:lineRule="auto"/>
        <w:ind w:firstLine="360"/>
        <w:jc w:val="both"/>
        <w:divId w:val="238714860"/>
        <w:rPr>
          <w:rFonts w:ascii="Times New Roman" w:hAnsi="Times New Roman" w:cs="Times New Roman"/>
          <w:sz w:val="21"/>
          <w:szCs w:val="21"/>
        </w:rPr>
      </w:pPr>
      <w:r>
        <w:rPr>
          <w:rFonts w:cs="Times New Roman" w:hint="eastAsia"/>
          <w:sz w:val="18"/>
          <w:szCs w:val="18"/>
        </w:rPr>
        <w:t>注：期末因抵押、质押或冻结等对使用有限制的款项合计299,315,871.55元，其中借款保证金246,200,000.00元，国际信用证保证金23,023,775.66元，用于质押的定期存款30,000,000.00元，定期存款利息92,095.89元，无存放境外且资金汇回受到限制的款项。</w:t>
      </w:r>
    </w:p>
    <w:p w:rsidR="00BD1BB9" w:rsidRDefault="00452DEF">
      <w:pPr>
        <w:pStyle w:val="3"/>
        <w:spacing w:line="280" w:lineRule="exact"/>
        <w:jc w:val="left"/>
        <w:rPr>
          <w:rFonts w:ascii="宋体" w:hAnsi="宋体" w:cs="宋体"/>
          <w:b/>
          <w:bCs/>
        </w:rPr>
      </w:pPr>
      <w:bookmarkStart w:id="170" w:name="_Toc989040"/>
      <w:r>
        <w:rPr>
          <w:rFonts w:ascii="宋体" w:hAnsi="宋体" w:cs="宋体"/>
          <w:b/>
          <w:bCs/>
        </w:rPr>
        <w:t>2、交易性金融资产</w:t>
      </w:r>
      <w:bookmarkEnd w:id="170"/>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240,218,854.85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237,252,629.51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227,968,000.00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225,152,000.00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26,215.00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基金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12,250,854.85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12,074,414.51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指定以公允价值计量且其变动计入当期损益的金融资产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240,218,854.85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237,252,629.51</w:t>
            </w:r>
          </w:p>
        </w:tc>
      </w:tr>
    </w:tbl>
    <w:p w:rsidR="00BD1BB9" w:rsidRDefault="00452DEF">
      <w:pPr>
        <w:pStyle w:val="3"/>
        <w:spacing w:line="280" w:lineRule="exact"/>
        <w:jc w:val="left"/>
        <w:rPr>
          <w:rFonts w:ascii="宋体" w:hAnsi="宋体" w:cs="宋体"/>
          <w:b/>
          <w:bCs/>
        </w:rPr>
      </w:pPr>
      <w:bookmarkStart w:id="171" w:name="_Toc989041"/>
      <w:r>
        <w:rPr>
          <w:rFonts w:ascii="宋体" w:hAnsi="宋体" w:cs="宋体"/>
          <w:b/>
          <w:bCs/>
        </w:rPr>
        <w:t>3、应收票据</w:t>
      </w:r>
      <w:bookmarkEnd w:id="171"/>
    </w:p>
    <w:p w:rsidR="00BD1BB9" w:rsidRDefault="00452DEF">
      <w:pPr>
        <w:keepNext/>
        <w:keepLines/>
        <w:spacing w:before="300" w:after="300" w:line="280" w:lineRule="exact"/>
        <w:outlineLvl w:val="3"/>
        <w:rPr>
          <w:rFonts w:ascii="宋体" w:eastAsia="宋体" w:hAnsi="宋体" w:cs="宋体"/>
          <w:b/>
          <w:bCs/>
          <w:szCs w:val="21"/>
        </w:rPr>
      </w:pPr>
      <w:bookmarkStart w:id="172" w:name="_Toc989042"/>
      <w:r>
        <w:rPr>
          <w:rFonts w:ascii="宋体" w:eastAsia="宋体" w:hAnsi="宋体" w:cs="宋体"/>
          <w:b/>
          <w:bCs/>
          <w:szCs w:val="21"/>
        </w:rPr>
        <w:t>（1） 应收票据分类列示</w:t>
      </w:r>
      <w:bookmarkEnd w:id="17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75,761,409.44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119,568,708.24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75,761,409.44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119,568,708.24</w:t>
            </w:r>
          </w:p>
        </w:tc>
      </w:tr>
    </w:tbl>
    <w:p w:rsidR="00E0094D" w:rsidRDefault="00E0094D" w:rsidP="00E0094D">
      <w:pPr>
        <w:pStyle w:val="a3"/>
        <w:spacing w:before="0" w:beforeAutospacing="0" w:after="0" w:afterAutospacing="0" w:line="400" w:lineRule="atLeast"/>
        <w:ind w:firstLine="360"/>
        <w:jc w:val="both"/>
        <w:rPr>
          <w:rFonts w:ascii="Times New Roman" w:hAnsi="Times New Roman" w:cs="Times New Roman"/>
          <w:sz w:val="21"/>
          <w:szCs w:val="21"/>
        </w:rPr>
      </w:pPr>
      <w:bookmarkStart w:id="173" w:name="_Toc989043"/>
      <w:r>
        <w:rPr>
          <w:rFonts w:cs="Times New Roman" w:hint="eastAsia"/>
          <w:sz w:val="18"/>
          <w:szCs w:val="18"/>
        </w:rPr>
        <w:t>注：本公司无单项计提减值准备的银行承兑汇票。本期末，本公司认为所持有的银行承兑汇票不存在重大信用风险，不会因银行违约而产生重大损失。</w:t>
      </w:r>
    </w:p>
    <w:p w:rsidR="00BD1BB9" w:rsidRDefault="00452DEF">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 期末公司已质押的应收票据</w:t>
      </w:r>
      <w:bookmarkEnd w:id="173"/>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期末已质押金额</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13,873,400.00</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13,873,400.00</w:t>
            </w:r>
          </w:p>
        </w:tc>
      </w:tr>
    </w:tbl>
    <w:p w:rsidR="00BD1BB9" w:rsidRDefault="00452DEF">
      <w:pPr>
        <w:keepNext/>
        <w:keepLines/>
        <w:spacing w:before="300" w:after="300" w:line="280" w:lineRule="exact"/>
        <w:outlineLvl w:val="3"/>
        <w:rPr>
          <w:rFonts w:ascii="宋体" w:eastAsia="宋体" w:hAnsi="宋体" w:cs="宋体"/>
          <w:b/>
          <w:bCs/>
          <w:szCs w:val="21"/>
        </w:rPr>
      </w:pPr>
      <w:bookmarkStart w:id="174" w:name="_Toc989044"/>
      <w:r>
        <w:rPr>
          <w:rFonts w:ascii="宋体" w:eastAsia="宋体" w:hAnsi="宋体" w:cs="宋体"/>
          <w:b/>
          <w:bCs/>
          <w:szCs w:val="21"/>
        </w:rPr>
        <w:lastRenderedPageBreak/>
        <w:t>（3） 期末公司已背书或贴现且在资产负债表日尚未到期的应收票据</w:t>
      </w:r>
      <w:bookmarkEnd w:id="174"/>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34,587,185.52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34,587,185.52</w:t>
            </w:r>
          </w:p>
        </w:tc>
      </w:tr>
    </w:tbl>
    <w:p w:rsidR="00E0094D" w:rsidRDefault="00E0094D" w:rsidP="00E0094D">
      <w:pPr>
        <w:pStyle w:val="a3"/>
        <w:spacing w:before="0" w:beforeAutospacing="0" w:after="0" w:afterAutospacing="0" w:line="400" w:lineRule="atLeast"/>
        <w:ind w:firstLine="360"/>
        <w:jc w:val="both"/>
        <w:rPr>
          <w:rFonts w:ascii="Times New Roman" w:hAnsi="Times New Roman" w:cs="Times New Roman"/>
          <w:sz w:val="21"/>
          <w:szCs w:val="21"/>
        </w:rPr>
      </w:pPr>
      <w:bookmarkStart w:id="175" w:name="_Toc989045"/>
      <w:r>
        <w:rPr>
          <w:rFonts w:cs="Times New Roman" w:hint="eastAsia"/>
          <w:sz w:val="18"/>
          <w:szCs w:val="18"/>
        </w:rPr>
        <w:t>注：本公司用于背书或贴现的银行承兑汇票如由信用等级较高银行承兑，信用风险和延期付款风险很小，并且票据相关的利率风险已转移给银行，可以判断票据所有权上的主要风险和报酬已经转移，故终止确认；本公司用于背书或贴现的银行承兑汇票如由信用级别一般的银行承兑，背书或贴现不影响追索权，票据相关的信用风险和延期付款风险仍没有转移，故未终止确认。</w:t>
      </w:r>
    </w:p>
    <w:p w:rsidR="00BD1BB9" w:rsidRDefault="00452DEF">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（4） 本期实际核销的应收票据情况</w:t>
      </w:r>
      <w:bookmarkEnd w:id="175"/>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实际核销的应收票据</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BD1BB9" w:rsidRDefault="00452DEF">
      <w:pPr>
        <w:pStyle w:val="3"/>
        <w:spacing w:line="280" w:lineRule="exact"/>
        <w:jc w:val="left"/>
        <w:rPr>
          <w:rFonts w:ascii="宋体" w:hAnsi="宋体" w:cs="宋体"/>
          <w:b/>
          <w:bCs/>
        </w:rPr>
      </w:pPr>
      <w:bookmarkStart w:id="176" w:name="_Toc989046"/>
      <w:r>
        <w:rPr>
          <w:rFonts w:ascii="宋体" w:hAnsi="宋体" w:cs="宋体"/>
          <w:b/>
          <w:bCs/>
        </w:rPr>
        <w:t>4、应收账款</w:t>
      </w:r>
      <w:bookmarkEnd w:id="176"/>
    </w:p>
    <w:p w:rsidR="00BD1BB9" w:rsidRDefault="00452DEF">
      <w:pPr>
        <w:keepNext/>
        <w:keepLines/>
        <w:spacing w:before="300" w:after="300" w:line="280" w:lineRule="exact"/>
        <w:outlineLvl w:val="3"/>
        <w:rPr>
          <w:rFonts w:ascii="宋体" w:eastAsia="宋体" w:hAnsi="宋体" w:cs="宋体"/>
          <w:b/>
          <w:bCs/>
          <w:szCs w:val="21"/>
        </w:rPr>
      </w:pPr>
      <w:bookmarkStart w:id="177" w:name="_Toc989047"/>
      <w:r>
        <w:rPr>
          <w:rFonts w:ascii="宋体" w:eastAsia="宋体" w:hAnsi="宋体" w:cs="宋体"/>
          <w:b/>
          <w:bCs/>
          <w:szCs w:val="21"/>
        </w:rPr>
        <w:t>（1） 按账龄披露</w:t>
      </w:r>
      <w:bookmarkEnd w:id="177"/>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136,403,910.68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118,836,835.61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136,403,910.68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118,836,835.61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10,358,085.47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15,007,759.64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9,744,146.64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2,538,245.84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1,389,841.28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1,389,931.26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bookmarkStart w:id="178" w:name="OLE_LINK1"/>
            <w:bookmarkStart w:id="179" w:name="OLE_LINK2"/>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89.98</w:t>
            </w:r>
          </w:p>
        </w:tc>
      </w:tr>
      <w:bookmarkEnd w:id="178"/>
      <w:bookmarkEnd w:id="179"/>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1,389,841.28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1,389,841.28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157,895,984.07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137,772,772.35</w:t>
            </w:r>
          </w:p>
        </w:tc>
      </w:tr>
    </w:tbl>
    <w:p w:rsidR="00BD1BB9" w:rsidRDefault="00452DEF">
      <w:pPr>
        <w:keepNext/>
        <w:keepLines/>
        <w:spacing w:before="300" w:after="300" w:line="280" w:lineRule="exact"/>
        <w:outlineLvl w:val="3"/>
        <w:rPr>
          <w:rFonts w:ascii="宋体" w:eastAsia="宋体" w:hAnsi="宋体" w:cs="宋体"/>
          <w:b/>
          <w:bCs/>
          <w:szCs w:val="21"/>
        </w:rPr>
      </w:pPr>
      <w:bookmarkStart w:id="180" w:name="_Toc989048"/>
      <w:r>
        <w:rPr>
          <w:rFonts w:ascii="宋体" w:eastAsia="宋体" w:hAnsi="宋体" w:cs="宋体"/>
          <w:b/>
          <w:bCs/>
          <w:szCs w:val="21"/>
        </w:rPr>
        <w:t>（2） 按坏账计提方法分类披露</w:t>
      </w:r>
      <w:bookmarkEnd w:id="180"/>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BD1BB9">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D1BB9">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157,895,984.07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12,169,089.35</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7.71%</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145,726,894.72</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137,772,772.35</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9,593,977.77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6.96%</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128,178,794.58</w:t>
            </w:r>
          </w:p>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157,895,984.07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12,169,089.35</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7.71%</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145,726,894.72</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137,772,772.35</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9,593,977.77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6.96%</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128,178,794.58</w:t>
            </w:r>
          </w:p>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157,895,984.07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12,169,089.35</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7.71%</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145,726,894.72</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137,772,772.35</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9,593,977.77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6.96%</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128,178,794.58</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按组合计提坏账准备类别名称：账龄组合</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D1BB9">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按账龄组合计提坏账准备</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157,895,984.07</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12,169,089.35</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7.71%</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157,895,984.07</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12,169,089.35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4A3B7E" w:rsidRDefault="00452DEF">
      <w:pPr>
        <w:pStyle w:val="a3"/>
        <w:spacing w:before="0" w:beforeAutospacing="0" w:after="0" w:afterAutospacing="0" w:line="400" w:lineRule="atLeast"/>
        <w:divId w:val="2053266249"/>
        <w:rPr>
          <w:sz w:val="18"/>
          <w:szCs w:val="18"/>
        </w:rPr>
      </w:pPr>
      <w:r>
        <w:rPr>
          <w:rFonts w:hint="eastAsia"/>
          <w:sz w:val="18"/>
          <w:szCs w:val="18"/>
        </w:rPr>
        <w:t> 参考历史信用损失经验，结合当前状况以及对未来经济账龄组合。本组合以应收款项的账龄作为信用风险特征状况的预测，编制应收款项账龄与预期信用损失率对照表，计算预期信用损失。</w:t>
      </w:r>
    </w:p>
    <w:p w:rsidR="00430BC1" w:rsidRDefault="00430BC1">
      <w:pPr>
        <w:pStyle w:val="a3"/>
        <w:spacing w:before="0" w:beforeAutospacing="0" w:after="0" w:afterAutospacing="0" w:line="400" w:lineRule="atLeast"/>
        <w:divId w:val="2053266249"/>
      </w:pP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keepNext/>
        <w:keepLines/>
        <w:spacing w:before="300" w:after="300" w:line="280" w:lineRule="exact"/>
        <w:outlineLvl w:val="3"/>
        <w:rPr>
          <w:rFonts w:ascii="宋体" w:eastAsia="宋体" w:hAnsi="宋体" w:cs="宋体"/>
          <w:b/>
          <w:bCs/>
          <w:szCs w:val="21"/>
        </w:rPr>
      </w:pPr>
      <w:bookmarkStart w:id="181" w:name="_Toc989049"/>
      <w:r>
        <w:rPr>
          <w:rFonts w:ascii="宋体" w:eastAsia="宋体" w:hAnsi="宋体" w:cs="宋体"/>
          <w:b/>
          <w:bCs/>
          <w:szCs w:val="21"/>
        </w:rPr>
        <w:t>（3） 本期计提、收回或转回的坏账准备情况</w:t>
      </w:r>
      <w:bookmarkEnd w:id="181"/>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9,593,977.77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2,575,111.58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12,169,089.35</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9,593,977.77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2,575,111.58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12,169,089.35</w:t>
            </w:r>
          </w:p>
        </w:tc>
      </w:tr>
    </w:tbl>
    <w:p w:rsidR="00BD1BB9" w:rsidRDefault="00452DEF">
      <w:pPr>
        <w:keepNext/>
        <w:keepLines/>
        <w:spacing w:before="300" w:after="300" w:line="280" w:lineRule="exact"/>
        <w:outlineLvl w:val="3"/>
        <w:rPr>
          <w:rFonts w:ascii="宋体" w:eastAsia="宋体" w:hAnsi="宋体" w:cs="宋体"/>
          <w:b/>
          <w:bCs/>
          <w:szCs w:val="21"/>
        </w:rPr>
      </w:pPr>
      <w:bookmarkStart w:id="182" w:name="_Toc989050"/>
      <w:r>
        <w:rPr>
          <w:rFonts w:ascii="宋体" w:eastAsia="宋体" w:hAnsi="宋体" w:cs="宋体"/>
          <w:b/>
          <w:bCs/>
          <w:szCs w:val="21"/>
        </w:rPr>
        <w:t>（4） 本期实际核销的应收账款情况</w:t>
      </w:r>
      <w:bookmarkEnd w:id="18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实际核销的应收账款</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BD1BB9" w:rsidRDefault="00452DEF">
      <w:pPr>
        <w:keepNext/>
        <w:keepLines/>
        <w:spacing w:before="300" w:after="300" w:line="280" w:lineRule="exact"/>
        <w:outlineLvl w:val="3"/>
        <w:rPr>
          <w:rFonts w:ascii="宋体" w:eastAsia="宋体" w:hAnsi="宋体" w:cs="宋体"/>
          <w:b/>
          <w:bCs/>
          <w:szCs w:val="21"/>
        </w:rPr>
      </w:pPr>
      <w:bookmarkStart w:id="183" w:name="_Toc989051"/>
      <w:r>
        <w:rPr>
          <w:rFonts w:ascii="宋体" w:eastAsia="宋体" w:hAnsi="宋体" w:cs="宋体"/>
          <w:b/>
          <w:bCs/>
          <w:szCs w:val="21"/>
        </w:rPr>
        <w:t>（5） 按欠款方归集的期末余额前五名的应收账款和合同资产情况</w:t>
      </w:r>
      <w:bookmarkEnd w:id="183"/>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20,935,835.39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20,935,835.39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13.26%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1,046,791.77</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18,481,788.06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18,481,788.06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11.70%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3,564,684.19</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17,489,691.08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17,489,691.08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11.08%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874,484.55</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17,159,436.23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17,159,436.23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10.87%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857,971.81</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9,687,554.42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9,687,554.42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484,377.72</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83,754,305.18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83,754,305.18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53.04%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6,828,310.04</w:t>
            </w:r>
          </w:p>
        </w:tc>
      </w:tr>
    </w:tbl>
    <w:p w:rsidR="00BD1BB9" w:rsidRDefault="00452DEF">
      <w:pPr>
        <w:pStyle w:val="3"/>
        <w:spacing w:line="280" w:lineRule="exact"/>
        <w:jc w:val="left"/>
        <w:rPr>
          <w:rFonts w:ascii="宋体" w:hAnsi="宋体" w:cs="宋体"/>
          <w:b/>
          <w:bCs/>
        </w:rPr>
      </w:pPr>
      <w:bookmarkStart w:id="184" w:name="_Toc989052"/>
      <w:r>
        <w:rPr>
          <w:rFonts w:ascii="宋体" w:hAnsi="宋体" w:cs="宋体"/>
          <w:b/>
          <w:bCs/>
        </w:rPr>
        <w:t>5、应收款项融资</w:t>
      </w:r>
      <w:bookmarkEnd w:id="184"/>
    </w:p>
    <w:p w:rsidR="00BD1BB9" w:rsidRDefault="00452DEF">
      <w:pPr>
        <w:keepNext/>
        <w:keepLines/>
        <w:spacing w:before="300" w:after="300" w:line="280" w:lineRule="exact"/>
        <w:outlineLvl w:val="3"/>
        <w:rPr>
          <w:rFonts w:ascii="宋体" w:eastAsia="宋体" w:hAnsi="宋体" w:cs="宋体"/>
          <w:b/>
          <w:bCs/>
          <w:szCs w:val="21"/>
        </w:rPr>
      </w:pPr>
      <w:bookmarkStart w:id="185" w:name="_Toc989053"/>
      <w:r>
        <w:rPr>
          <w:rFonts w:ascii="宋体" w:eastAsia="宋体" w:hAnsi="宋体" w:cs="宋体"/>
          <w:b/>
          <w:bCs/>
          <w:szCs w:val="21"/>
        </w:rPr>
        <w:t>（1） 应收款项融资分类列示</w:t>
      </w:r>
      <w:bookmarkEnd w:id="185"/>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297,458,296.75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200,883,796.09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297,458,296.75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200,883,796.09</w:t>
            </w:r>
          </w:p>
        </w:tc>
      </w:tr>
    </w:tbl>
    <w:p w:rsidR="00122E6C" w:rsidRPr="00DA1A3E" w:rsidRDefault="00122E6C" w:rsidP="00122E6C">
      <w:pPr>
        <w:spacing w:line="400" w:lineRule="exact"/>
        <w:ind w:firstLineChars="200" w:firstLine="360"/>
        <w:rPr>
          <w:rFonts w:asciiTheme="minorEastAsia" w:hAnsiTheme="minorEastAsia" w:cs="Arial"/>
          <w:sz w:val="18"/>
          <w:szCs w:val="18"/>
        </w:rPr>
      </w:pPr>
      <w:bookmarkStart w:id="186" w:name="_Toc989054"/>
      <w:r w:rsidRPr="00DA1A3E">
        <w:rPr>
          <w:rFonts w:asciiTheme="minorEastAsia" w:hAnsiTheme="minorEastAsia" w:cs="Arial"/>
          <w:sz w:val="18"/>
          <w:szCs w:val="18"/>
        </w:rPr>
        <w:t>注：本公司及所属部分子公司视其日常资金管理的需要将一部分银行承兑汇票进行贴现和背书，故将该部分银行承兑汇票分类为以公允价值计量且其变动计入其他综合收益的金融资产。</w:t>
      </w:r>
    </w:p>
    <w:p w:rsidR="00BD1BB9" w:rsidRDefault="00452DEF">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 期末公司已质押的应收款项融资</w:t>
      </w:r>
      <w:bookmarkEnd w:id="186"/>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期末已质押金额</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应收票据</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86,220,071.80</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86,220,071.80</w:t>
            </w:r>
          </w:p>
        </w:tc>
      </w:tr>
    </w:tbl>
    <w:p w:rsidR="00BD1BB9" w:rsidRDefault="00452DEF">
      <w:pPr>
        <w:keepNext/>
        <w:keepLines/>
        <w:spacing w:before="300" w:after="300" w:line="280" w:lineRule="exact"/>
        <w:outlineLvl w:val="3"/>
        <w:rPr>
          <w:rFonts w:ascii="宋体" w:eastAsia="宋体" w:hAnsi="宋体" w:cs="宋体"/>
          <w:b/>
          <w:bCs/>
          <w:szCs w:val="21"/>
        </w:rPr>
      </w:pPr>
      <w:bookmarkStart w:id="187" w:name="_Toc989055"/>
      <w:r>
        <w:rPr>
          <w:rFonts w:ascii="宋体" w:eastAsia="宋体" w:hAnsi="宋体" w:cs="宋体"/>
          <w:b/>
          <w:bCs/>
          <w:szCs w:val="21"/>
        </w:rPr>
        <w:t>（3） 期末公司已背书或贴现且在资产负债表日尚未到期的应收款项融资</w:t>
      </w:r>
      <w:bookmarkEnd w:id="187"/>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143,276,492.22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143,276,492.22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bl>
    <w:p w:rsidR="00BD1BB9" w:rsidRDefault="00452DEF">
      <w:pPr>
        <w:keepNext/>
        <w:keepLines/>
        <w:spacing w:before="300" w:after="300" w:line="280" w:lineRule="exact"/>
        <w:outlineLvl w:val="3"/>
        <w:rPr>
          <w:rFonts w:ascii="宋体" w:eastAsia="宋体" w:hAnsi="宋体" w:cs="宋体"/>
          <w:b/>
          <w:bCs/>
          <w:szCs w:val="21"/>
        </w:rPr>
      </w:pPr>
      <w:bookmarkStart w:id="188" w:name="_Toc989056"/>
      <w:r>
        <w:rPr>
          <w:rFonts w:ascii="宋体" w:eastAsia="宋体" w:hAnsi="宋体" w:cs="宋体"/>
          <w:b/>
          <w:bCs/>
          <w:szCs w:val="21"/>
        </w:rPr>
        <w:t>（4） 本期实际核销的应收款项融资情况</w:t>
      </w:r>
      <w:bookmarkEnd w:id="188"/>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实际核销的应收款项融资</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BD1BB9" w:rsidRDefault="00452DEF">
      <w:pPr>
        <w:pStyle w:val="3"/>
        <w:spacing w:line="280" w:lineRule="exact"/>
        <w:jc w:val="left"/>
        <w:rPr>
          <w:rFonts w:ascii="宋体" w:hAnsi="宋体" w:cs="宋体"/>
          <w:b/>
          <w:bCs/>
        </w:rPr>
      </w:pPr>
      <w:bookmarkStart w:id="189" w:name="_Toc989057"/>
      <w:r>
        <w:rPr>
          <w:rFonts w:ascii="宋体" w:hAnsi="宋体" w:cs="宋体"/>
          <w:b/>
          <w:bCs/>
        </w:rPr>
        <w:t>6、其他应收款</w:t>
      </w:r>
      <w:bookmarkEnd w:id="189"/>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1,357,514.90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1,300,752.20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1,357,514.90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1,300,752.20</w:t>
            </w:r>
          </w:p>
        </w:tc>
      </w:tr>
    </w:tbl>
    <w:p w:rsidR="00BD1BB9" w:rsidRDefault="00452DEF">
      <w:pPr>
        <w:keepNext/>
        <w:keepLines/>
        <w:spacing w:before="300" w:after="300" w:line="280" w:lineRule="exact"/>
        <w:outlineLvl w:val="3"/>
        <w:rPr>
          <w:rFonts w:ascii="宋体" w:eastAsia="宋体" w:hAnsi="宋体" w:cs="宋体"/>
          <w:b/>
          <w:bCs/>
          <w:szCs w:val="21"/>
        </w:rPr>
      </w:pPr>
      <w:bookmarkStart w:id="190" w:name="_Toc989058"/>
      <w:r>
        <w:rPr>
          <w:rFonts w:ascii="宋体" w:eastAsia="宋体" w:hAnsi="宋体" w:cs="宋体"/>
          <w:b/>
          <w:bCs/>
          <w:szCs w:val="21"/>
        </w:rPr>
        <w:lastRenderedPageBreak/>
        <w:t>（1） 其他应收款</w:t>
      </w:r>
      <w:bookmarkEnd w:id="190"/>
    </w:p>
    <w:p w:rsidR="00BD1BB9" w:rsidRDefault="00452DEF">
      <w:pPr>
        <w:keepNext/>
        <w:keepLines/>
        <w:spacing w:before="300" w:after="300" w:line="280" w:lineRule="exact"/>
        <w:outlineLvl w:val="4"/>
        <w:rPr>
          <w:rFonts w:ascii="宋体" w:eastAsia="宋体" w:hAnsi="宋体" w:cs="宋体"/>
          <w:b/>
          <w:bCs/>
          <w:sz w:val="18"/>
          <w:szCs w:val="18"/>
        </w:rPr>
      </w:pPr>
      <w:bookmarkStart w:id="191" w:name="_Toc989059"/>
      <w:r>
        <w:rPr>
          <w:rFonts w:ascii="宋体" w:eastAsia="宋体" w:hAnsi="宋体" w:cs="宋体"/>
          <w:b/>
          <w:bCs/>
          <w:sz w:val="18"/>
          <w:szCs w:val="18"/>
        </w:rPr>
        <w:t>1） 其他应收款按款项性质分类情况</w:t>
      </w:r>
      <w:bookmarkEnd w:id="191"/>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1,767,504.52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1,767,504.52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568,278.85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547,222.84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7,079,849.90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7,079,849.90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9,507,633.27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9,441,577.26</w:t>
            </w:r>
          </w:p>
        </w:tc>
      </w:tr>
    </w:tbl>
    <w:p w:rsidR="00BD1BB9" w:rsidRDefault="00452DEF">
      <w:pPr>
        <w:keepNext/>
        <w:keepLines/>
        <w:spacing w:before="300" w:after="300" w:line="280" w:lineRule="exact"/>
        <w:outlineLvl w:val="4"/>
        <w:rPr>
          <w:rFonts w:ascii="宋体" w:eastAsia="宋体" w:hAnsi="宋体" w:cs="宋体"/>
          <w:b/>
          <w:bCs/>
          <w:sz w:val="18"/>
          <w:szCs w:val="18"/>
        </w:rPr>
      </w:pPr>
      <w:bookmarkStart w:id="192" w:name="_Toc989060"/>
      <w:r>
        <w:rPr>
          <w:rFonts w:ascii="宋体" w:eastAsia="宋体" w:hAnsi="宋体" w:cs="宋体"/>
          <w:b/>
          <w:bCs/>
          <w:sz w:val="18"/>
          <w:szCs w:val="18"/>
        </w:rPr>
        <w:t>2） 按账龄披露</w:t>
      </w:r>
      <w:bookmarkEnd w:id="192"/>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625,278.85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674,222.84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625,278.85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674,222.84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715,000.00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8,167,354.42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8,167,354.42</w:t>
            </w:r>
          </w:p>
        </w:tc>
      </w:tr>
      <w:tr w:rsidR="00E1104D" w:rsidTr="0081494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E1104D" w:rsidRDefault="00E1104D" w:rsidP="0081494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E1104D" w:rsidRDefault="00E1104D" w:rsidP="0081494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E1104D" w:rsidRDefault="00E1104D" w:rsidP="00814945">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7,567,354.42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7,567,354.42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9,507,633.27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9,441,577.26</w:t>
            </w:r>
          </w:p>
        </w:tc>
      </w:tr>
    </w:tbl>
    <w:p w:rsidR="00BD1BB9" w:rsidRDefault="00452DEF">
      <w:pPr>
        <w:keepNext/>
        <w:keepLines/>
        <w:spacing w:before="300" w:after="300" w:line="280" w:lineRule="exact"/>
        <w:outlineLvl w:val="4"/>
        <w:rPr>
          <w:rFonts w:ascii="宋体" w:eastAsia="宋体" w:hAnsi="宋体" w:cs="宋体"/>
          <w:b/>
          <w:bCs/>
          <w:sz w:val="18"/>
          <w:szCs w:val="18"/>
        </w:rPr>
      </w:pPr>
      <w:bookmarkStart w:id="193" w:name="_Toc989061"/>
      <w:r>
        <w:rPr>
          <w:rFonts w:ascii="宋体" w:eastAsia="宋体" w:hAnsi="宋体" w:cs="宋体"/>
          <w:b/>
          <w:bCs/>
          <w:sz w:val="18"/>
          <w:szCs w:val="18"/>
        </w:rPr>
        <w:t>3） 按坏账计提方法分类披露</w:t>
      </w:r>
      <w:bookmarkEnd w:id="193"/>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BD1BB9">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D1BB9">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73.62%</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74.14%</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2,507,783.37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26.38%</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1,150,268.47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45.87%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1,357,514.90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2,441,727.36</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25.86%</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1,140,975.16</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46.73%</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1,300,752.20</w:t>
            </w:r>
          </w:p>
        </w:tc>
      </w:tr>
      <w:tr w:rsidR="00BD1BB9">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r>
      <w:tr w:rsidR="00BD1BB9">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2,507,783.37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26.38%</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1,150,268.47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45.87%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1,357,514.90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2,441,727.36</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25.86%</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1,140,975.16</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46.73%</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1,300,752.20</w:t>
            </w:r>
          </w:p>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9,507,633.27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8,150,118.37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85.72%</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1,357,514.90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9,441,577.26</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8,140,825.06</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86.22%</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1,300,752.20</w:t>
            </w:r>
          </w:p>
        </w:tc>
      </w:tr>
    </w:tbl>
    <w:p w:rsidR="00430BC1" w:rsidRDefault="00430BC1">
      <w:pPr>
        <w:spacing w:line="240" w:lineRule="exact"/>
        <w:rPr>
          <w:rFonts w:ascii="宋体" w:eastAsia="宋体" w:hAnsi="宋体" w:cs="宋体"/>
          <w:sz w:val="18"/>
          <w:szCs w:val="18"/>
        </w:rPr>
      </w:pPr>
    </w:p>
    <w:p w:rsidR="00430BC1" w:rsidRDefault="00430BC1">
      <w:pPr>
        <w:spacing w:line="240" w:lineRule="exact"/>
        <w:rPr>
          <w:rFonts w:ascii="宋体" w:eastAsia="宋体" w:hAnsi="宋体" w:cs="宋体"/>
          <w:sz w:val="18"/>
          <w:szCs w:val="18"/>
        </w:rPr>
      </w:pPr>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按单项计提坏账准备类别名称：按单项计提坏账准备</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预计无法收回</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rsidP="000653B1">
            <w:pPr>
              <w:spacing w:line="240" w:lineRule="exact"/>
              <w:jc w:val="right"/>
              <w:rPr>
                <w:rFonts w:ascii="宋体" w:eastAsia="宋体" w:hAnsi="宋体" w:cs="宋体"/>
                <w:sz w:val="18"/>
                <w:szCs w:val="18"/>
              </w:rPr>
            </w:pPr>
            <w:r>
              <w:rPr>
                <w:rFonts w:ascii="宋体" w:eastAsia="宋体" w:hAnsi="宋体" w:cs="宋体"/>
                <w:sz w:val="18"/>
                <w:szCs w:val="18"/>
              </w:rPr>
              <w:t>6,999,849.</w:t>
            </w:r>
            <w:r w:rsidR="000653B1">
              <w:rPr>
                <w:rFonts w:ascii="宋体" w:eastAsia="宋体" w:hAnsi="宋体" w:cs="宋体" w:hint="eastAsia"/>
                <w:sz w:val="18"/>
                <w:szCs w:val="18"/>
              </w:rPr>
              <w:t>90</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bl>
    <w:p w:rsidR="00430BC1" w:rsidRDefault="00430BC1">
      <w:pPr>
        <w:spacing w:line="240" w:lineRule="exact"/>
        <w:rPr>
          <w:rFonts w:ascii="宋体" w:eastAsia="宋体" w:hAnsi="宋体" w:cs="宋体"/>
          <w:sz w:val="18"/>
          <w:szCs w:val="18"/>
        </w:rPr>
      </w:pPr>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按组合计提坏账准备类别名称：账龄组合</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D1BB9">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账龄组合</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2,507,783.37</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1,150,268.47</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45.87%</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2,507,783.37</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1,150,268.47</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4A3B7E" w:rsidRDefault="00452DEF">
      <w:pPr>
        <w:pStyle w:val="a3"/>
        <w:spacing w:before="0" w:beforeAutospacing="0" w:after="0" w:afterAutospacing="0" w:line="400" w:lineRule="atLeast"/>
        <w:divId w:val="656299922"/>
        <w:rPr>
          <w:sz w:val="18"/>
          <w:szCs w:val="18"/>
        </w:rPr>
      </w:pPr>
      <w:r>
        <w:rPr>
          <w:rFonts w:hint="eastAsia"/>
          <w:sz w:val="18"/>
          <w:szCs w:val="18"/>
        </w:rPr>
        <w:t> 参考历史信用损失经验，结合当前状况以及对未来经济账龄组合。本组合以应收款项的账龄作为信用风险特征状况的预测，编制应收款项账龄与预期信用损失率对照表，计算预期信用损失。</w:t>
      </w:r>
    </w:p>
    <w:p w:rsidR="00430BC1" w:rsidRDefault="00430BC1">
      <w:pPr>
        <w:pStyle w:val="a3"/>
        <w:spacing w:before="0" w:beforeAutospacing="0" w:after="0" w:afterAutospacing="0" w:line="400" w:lineRule="atLeast"/>
        <w:divId w:val="656299922"/>
      </w:pPr>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按预期信用损失一般模型计提坏账准备：</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D1BB9">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2025年1月1日余额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1,140,975.16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8,140,825.06</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2025年1月1日余额在本期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——转入第二阶段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——转回第二阶段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——转回第一阶段</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9,293.31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9,293.31</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本期转销</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2025年6月30日余额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1,150,268.47</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8,150,118.37</w:t>
            </w:r>
          </w:p>
        </w:tc>
      </w:tr>
    </w:tbl>
    <w:p w:rsidR="00430BC1" w:rsidRDefault="00430BC1">
      <w:pPr>
        <w:spacing w:before="100" w:after="100" w:line="240" w:lineRule="exact"/>
        <w:rPr>
          <w:rFonts w:ascii="宋体" w:eastAsia="宋体" w:hAnsi="宋体" w:cs="宋体"/>
          <w:sz w:val="18"/>
          <w:szCs w:val="18"/>
        </w:rPr>
      </w:pP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keepNext/>
        <w:keepLines/>
        <w:spacing w:before="300" w:after="300" w:line="280" w:lineRule="exact"/>
        <w:outlineLvl w:val="4"/>
        <w:rPr>
          <w:rFonts w:ascii="宋体" w:eastAsia="宋体" w:hAnsi="宋体" w:cs="宋体"/>
          <w:b/>
          <w:bCs/>
          <w:sz w:val="18"/>
          <w:szCs w:val="18"/>
        </w:rPr>
      </w:pPr>
      <w:bookmarkStart w:id="194" w:name="_Toc989062"/>
      <w:r>
        <w:rPr>
          <w:rFonts w:ascii="宋体" w:eastAsia="宋体" w:hAnsi="宋体" w:cs="宋体"/>
          <w:b/>
          <w:bCs/>
          <w:sz w:val="18"/>
          <w:szCs w:val="18"/>
        </w:rPr>
        <w:t>4） 本期计提、收回或转回的坏账准备情况</w:t>
      </w:r>
      <w:bookmarkEnd w:id="194"/>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8,140,825.06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9,293.31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8,150,118.37</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8,140,825.06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9,293.31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8,150,118.37</w:t>
            </w:r>
          </w:p>
        </w:tc>
      </w:tr>
    </w:tbl>
    <w:p w:rsidR="00BD1BB9" w:rsidRDefault="00452DEF">
      <w:pPr>
        <w:keepNext/>
        <w:keepLines/>
        <w:spacing w:before="300" w:after="300" w:line="280" w:lineRule="exact"/>
        <w:outlineLvl w:val="4"/>
        <w:rPr>
          <w:rFonts w:ascii="宋体" w:eastAsia="宋体" w:hAnsi="宋体" w:cs="宋体"/>
          <w:b/>
          <w:bCs/>
          <w:sz w:val="18"/>
          <w:szCs w:val="18"/>
        </w:rPr>
      </w:pPr>
      <w:bookmarkStart w:id="195" w:name="_Toc989063"/>
      <w:r>
        <w:rPr>
          <w:rFonts w:ascii="宋体" w:eastAsia="宋体" w:hAnsi="宋体" w:cs="宋体"/>
          <w:b/>
          <w:bCs/>
          <w:sz w:val="18"/>
          <w:szCs w:val="18"/>
        </w:rPr>
        <w:t>5） 按欠款方归集的期末余额前五名的其他应收款情况</w:t>
      </w:r>
      <w:bookmarkEnd w:id="195"/>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73.62%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1,200,000.00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1-2年、4-5年</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12.62%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540,000.00</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300,000.00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300,000.00</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267,504.52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2.81%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267,504.52</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80,000.00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1-2年</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0.84%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8,000.00</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8,847,354.42</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93.05%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8,115,354.42</w:t>
            </w:r>
          </w:p>
        </w:tc>
      </w:tr>
    </w:tbl>
    <w:p w:rsidR="00BD1BB9" w:rsidRDefault="00452DEF">
      <w:pPr>
        <w:pStyle w:val="3"/>
        <w:spacing w:line="280" w:lineRule="exact"/>
        <w:jc w:val="left"/>
        <w:rPr>
          <w:rFonts w:ascii="宋体" w:hAnsi="宋体" w:cs="宋体"/>
          <w:b/>
          <w:bCs/>
        </w:rPr>
      </w:pPr>
      <w:bookmarkStart w:id="196" w:name="_Toc989064"/>
      <w:r>
        <w:rPr>
          <w:rFonts w:ascii="宋体" w:hAnsi="宋体" w:cs="宋体"/>
          <w:b/>
          <w:bCs/>
        </w:rPr>
        <w:t>7、预付款项</w:t>
      </w:r>
      <w:bookmarkEnd w:id="196"/>
    </w:p>
    <w:p w:rsidR="00BD1BB9" w:rsidRDefault="00452DEF">
      <w:pPr>
        <w:keepNext/>
        <w:keepLines/>
        <w:spacing w:before="300" w:after="300" w:line="280" w:lineRule="exact"/>
        <w:outlineLvl w:val="3"/>
        <w:rPr>
          <w:rFonts w:ascii="宋体" w:eastAsia="宋体" w:hAnsi="宋体" w:cs="宋体"/>
          <w:b/>
          <w:bCs/>
          <w:szCs w:val="21"/>
        </w:rPr>
      </w:pPr>
      <w:bookmarkStart w:id="197" w:name="_Toc989065"/>
      <w:r>
        <w:rPr>
          <w:rFonts w:ascii="宋体" w:eastAsia="宋体" w:hAnsi="宋体" w:cs="宋体"/>
          <w:b/>
          <w:bCs/>
          <w:szCs w:val="21"/>
        </w:rPr>
        <w:t>（1） 预付款项按账龄列示</w:t>
      </w:r>
      <w:bookmarkEnd w:id="197"/>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36,211,440.56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99.91%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25,147,721.92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99.83%</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32,240.00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42,000.00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0.17%</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36,243,680.56</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25,189,721.92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账龄超过1年且金额重要的预付款项未及时结算原因的说明：</w:t>
      </w:r>
    </w:p>
    <w:p w:rsidR="004A3B7E" w:rsidRDefault="00452DEF">
      <w:pPr>
        <w:pStyle w:val="a3"/>
        <w:spacing w:before="0" w:beforeAutospacing="0" w:after="0" w:afterAutospacing="0" w:line="400" w:lineRule="atLeast"/>
        <w:ind w:firstLine="360"/>
        <w:jc w:val="both"/>
        <w:divId w:val="49622225"/>
        <w:rPr>
          <w:rFonts w:ascii="Times New Roman" w:hAnsi="Times New Roman" w:cs="Times New Roman"/>
          <w:sz w:val="21"/>
          <w:szCs w:val="21"/>
        </w:rPr>
      </w:pPr>
      <w:r>
        <w:rPr>
          <w:rFonts w:cs="Times New Roman" w:hint="eastAsia"/>
          <w:sz w:val="18"/>
          <w:szCs w:val="18"/>
        </w:rPr>
        <w:t>注：账龄一年以上的预付账款为尚未结算的货款尾款</w:t>
      </w:r>
      <w:r>
        <w:rPr>
          <w:rStyle w:val="a4"/>
          <w:rFonts w:cs="Times New Roman" w:hint="eastAsia"/>
          <w:sz w:val="18"/>
          <w:szCs w:val="18"/>
        </w:rPr>
        <w:t>。</w:t>
      </w:r>
    </w:p>
    <w:p w:rsidR="004A3B7E" w:rsidRDefault="00452DEF" w:rsidP="00965882">
      <w:pPr>
        <w:keepNext/>
        <w:keepLines/>
        <w:adjustRightInd w:val="0"/>
        <w:snapToGrid w:val="0"/>
        <w:spacing w:before="300"/>
        <w:outlineLvl w:val="3"/>
        <w:divId w:val="77137948"/>
        <w:rPr>
          <w:sz w:val="18"/>
          <w:szCs w:val="18"/>
        </w:rPr>
      </w:pPr>
      <w:bookmarkStart w:id="198" w:name="_Toc989066"/>
      <w:r>
        <w:rPr>
          <w:rFonts w:ascii="宋体" w:eastAsia="宋体" w:hAnsi="宋体" w:cs="宋体"/>
          <w:b/>
          <w:bCs/>
          <w:szCs w:val="21"/>
        </w:rPr>
        <w:t>（2） 按预付对象归集的期末余额前五名的预付款情况</w:t>
      </w:r>
      <w:bookmarkEnd w:id="198"/>
      <w:r w:rsidR="00965882">
        <w:rPr>
          <w:rFonts w:ascii="宋体" w:eastAsia="宋体" w:hAnsi="宋体" w:cs="宋体" w:hint="eastAsia"/>
          <w:b/>
          <w:bCs/>
          <w:szCs w:val="21"/>
        </w:rPr>
        <w:t xml:space="preserve">        </w:t>
      </w:r>
      <w:r>
        <w:rPr>
          <w:rFonts w:hint="eastAsia"/>
          <w:sz w:val="18"/>
          <w:szCs w:val="18"/>
        </w:rPr>
        <w:t xml:space="preserve">                                                        </w:t>
      </w:r>
      <w:r w:rsidR="00C3247E">
        <w:rPr>
          <w:rFonts w:hint="eastAsia"/>
          <w:sz w:val="18"/>
          <w:szCs w:val="18"/>
        </w:rPr>
        <w:t xml:space="preserve">  </w:t>
      </w:r>
      <w:r>
        <w:rPr>
          <w:rFonts w:hint="eastAsia"/>
          <w:sz w:val="18"/>
          <w:szCs w:val="18"/>
        </w:rPr>
        <w:t xml:space="preserve">      </w:t>
      </w:r>
      <w:r>
        <w:rPr>
          <w:rFonts w:hint="eastAsia"/>
          <w:sz w:val="18"/>
          <w:szCs w:val="18"/>
        </w:rPr>
        <w:t>单位：元</w:t>
      </w:r>
    </w:p>
    <w:tbl>
      <w:tblPr>
        <w:tblW w:w="9446" w:type="dxa"/>
        <w:jc w:val="center"/>
        <w:tblInd w:w="-319" w:type="dxa"/>
        <w:tblCellMar>
          <w:left w:w="0" w:type="dxa"/>
          <w:right w:w="0" w:type="dxa"/>
        </w:tblCellMar>
        <w:tblLook w:val="04A0" w:firstRow="1" w:lastRow="0" w:firstColumn="1" w:lastColumn="0" w:noHBand="0" w:noVBand="1"/>
      </w:tblPr>
      <w:tblGrid>
        <w:gridCol w:w="3271"/>
        <w:gridCol w:w="2730"/>
        <w:gridCol w:w="3445"/>
      </w:tblGrid>
      <w:tr w:rsidR="004A3B7E" w:rsidTr="00965882">
        <w:trPr>
          <w:divId w:val="77137948"/>
          <w:trHeight w:val="495"/>
          <w:tblHeader/>
          <w:jc w:val="center"/>
        </w:trPr>
        <w:tc>
          <w:tcPr>
            <w:tcW w:w="327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rsidP="00122E6C">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单位名称</w:t>
            </w:r>
          </w:p>
        </w:tc>
        <w:tc>
          <w:tcPr>
            <w:tcW w:w="27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rsidP="00122E6C">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期末余额</w:t>
            </w:r>
          </w:p>
        </w:tc>
        <w:tc>
          <w:tcPr>
            <w:tcW w:w="34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Pr="00965882" w:rsidRDefault="00452DEF" w:rsidP="00965882">
            <w:pPr>
              <w:pStyle w:val="a3"/>
              <w:spacing w:before="0" w:beforeAutospacing="0" w:after="0" w:afterAutospacing="0"/>
              <w:ind w:left="-2" w:right="-73"/>
              <w:jc w:val="center"/>
              <w:rPr>
                <w:rFonts w:ascii="Times New Roman" w:hAnsi="Times New Roman" w:cs="Times New Roman"/>
                <w:sz w:val="21"/>
                <w:szCs w:val="21"/>
              </w:rPr>
            </w:pPr>
            <w:r>
              <w:rPr>
                <w:rFonts w:cs="Times New Roman" w:hint="eastAsia"/>
                <w:sz w:val="18"/>
                <w:szCs w:val="18"/>
              </w:rPr>
              <w:t>占预付账款期末余额合计数的比例</w:t>
            </w:r>
            <w:r w:rsidR="00965882">
              <w:rPr>
                <w:rFonts w:cs="Times New Roman" w:hint="eastAsia"/>
                <w:sz w:val="18"/>
                <w:szCs w:val="18"/>
              </w:rPr>
              <w:t>(</w:t>
            </w:r>
            <w:r>
              <w:rPr>
                <w:rFonts w:cs="Times New Roman" w:hint="eastAsia"/>
                <w:sz w:val="18"/>
                <w:szCs w:val="18"/>
              </w:rPr>
              <w:t>%</w:t>
            </w:r>
            <w:r w:rsidR="00965882">
              <w:rPr>
                <w:rFonts w:cs="Times New Roman" w:hint="eastAsia"/>
                <w:sz w:val="18"/>
                <w:szCs w:val="18"/>
              </w:rPr>
              <w:t>)</w:t>
            </w:r>
          </w:p>
        </w:tc>
      </w:tr>
      <w:tr w:rsidR="004A3B7E" w:rsidTr="00965882">
        <w:trPr>
          <w:divId w:val="77137948"/>
          <w:trHeight w:val="345"/>
          <w:jc w:val="center"/>
        </w:trPr>
        <w:tc>
          <w:tcPr>
            <w:tcW w:w="32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预付单位1</w:t>
            </w:r>
          </w:p>
        </w:tc>
        <w:tc>
          <w:tcPr>
            <w:tcW w:w="2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10,179,488.44</w:t>
            </w:r>
          </w:p>
        </w:tc>
        <w:tc>
          <w:tcPr>
            <w:tcW w:w="34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28.09</w:t>
            </w:r>
          </w:p>
        </w:tc>
      </w:tr>
      <w:tr w:rsidR="004A3B7E" w:rsidTr="00965882">
        <w:trPr>
          <w:divId w:val="77137948"/>
          <w:trHeight w:val="345"/>
          <w:jc w:val="center"/>
        </w:trPr>
        <w:tc>
          <w:tcPr>
            <w:tcW w:w="3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预付单位2</w:t>
            </w:r>
          </w:p>
        </w:tc>
        <w:tc>
          <w:tcPr>
            <w:tcW w:w="2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8,266,894.00</w:t>
            </w:r>
          </w:p>
        </w:tc>
        <w:tc>
          <w:tcPr>
            <w:tcW w:w="34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22.81</w:t>
            </w:r>
          </w:p>
        </w:tc>
      </w:tr>
      <w:tr w:rsidR="004A3B7E" w:rsidTr="00965882">
        <w:trPr>
          <w:divId w:val="77137948"/>
          <w:trHeight w:val="345"/>
          <w:jc w:val="center"/>
        </w:trPr>
        <w:tc>
          <w:tcPr>
            <w:tcW w:w="3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预付单位3</w:t>
            </w:r>
          </w:p>
        </w:tc>
        <w:tc>
          <w:tcPr>
            <w:tcW w:w="2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7,496,964.00</w:t>
            </w:r>
          </w:p>
        </w:tc>
        <w:tc>
          <w:tcPr>
            <w:tcW w:w="34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20.68</w:t>
            </w:r>
          </w:p>
        </w:tc>
      </w:tr>
      <w:tr w:rsidR="004A3B7E" w:rsidTr="00965882">
        <w:trPr>
          <w:divId w:val="77137948"/>
          <w:trHeight w:val="345"/>
          <w:jc w:val="center"/>
        </w:trPr>
        <w:tc>
          <w:tcPr>
            <w:tcW w:w="3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预付单位4</w:t>
            </w:r>
          </w:p>
        </w:tc>
        <w:tc>
          <w:tcPr>
            <w:tcW w:w="2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2,760,320.00</w:t>
            </w:r>
          </w:p>
        </w:tc>
        <w:tc>
          <w:tcPr>
            <w:tcW w:w="34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7.62</w:t>
            </w:r>
          </w:p>
        </w:tc>
      </w:tr>
      <w:tr w:rsidR="004A3B7E" w:rsidTr="00965882">
        <w:trPr>
          <w:divId w:val="77137948"/>
          <w:trHeight w:val="345"/>
          <w:jc w:val="center"/>
        </w:trPr>
        <w:tc>
          <w:tcPr>
            <w:tcW w:w="3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预付单位5</w:t>
            </w:r>
          </w:p>
        </w:tc>
        <w:tc>
          <w:tcPr>
            <w:tcW w:w="2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1,928,856.99</w:t>
            </w:r>
          </w:p>
        </w:tc>
        <w:tc>
          <w:tcPr>
            <w:tcW w:w="34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5.32</w:t>
            </w:r>
          </w:p>
        </w:tc>
      </w:tr>
      <w:tr w:rsidR="004A3B7E" w:rsidTr="00965882">
        <w:trPr>
          <w:divId w:val="77137948"/>
          <w:trHeight w:val="345"/>
          <w:jc w:val="center"/>
        </w:trPr>
        <w:tc>
          <w:tcPr>
            <w:tcW w:w="32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w:t>
            </w:r>
            <w:r w:rsidR="00122E6C">
              <w:rPr>
                <w:rFonts w:cs="Times New Roman" w:hint="eastAsia"/>
                <w:sz w:val="18"/>
                <w:szCs w:val="18"/>
              </w:rPr>
              <w:t xml:space="preserve">  </w:t>
            </w:r>
            <w:r>
              <w:rPr>
                <w:rFonts w:cs="Times New Roman" w:hint="eastAsia"/>
                <w:sz w:val="18"/>
                <w:szCs w:val="18"/>
              </w:rPr>
              <w:t>计</w:t>
            </w:r>
          </w:p>
        </w:tc>
        <w:tc>
          <w:tcPr>
            <w:tcW w:w="2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30,632,523.43</w:t>
            </w:r>
          </w:p>
        </w:tc>
        <w:tc>
          <w:tcPr>
            <w:tcW w:w="34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84.52</w:t>
            </w:r>
          </w:p>
        </w:tc>
      </w:tr>
    </w:tbl>
    <w:p w:rsidR="00BD1BB9" w:rsidRDefault="00452DEF">
      <w:pPr>
        <w:pStyle w:val="3"/>
        <w:spacing w:line="280" w:lineRule="exact"/>
        <w:jc w:val="left"/>
        <w:rPr>
          <w:rFonts w:ascii="宋体" w:hAnsi="宋体" w:cs="宋体"/>
          <w:b/>
          <w:bCs/>
        </w:rPr>
      </w:pPr>
      <w:bookmarkStart w:id="199" w:name="_Toc989067"/>
      <w:r>
        <w:rPr>
          <w:rFonts w:ascii="宋体" w:hAnsi="宋体" w:cs="宋体"/>
          <w:b/>
          <w:bCs/>
        </w:rPr>
        <w:lastRenderedPageBreak/>
        <w:t>8、存货</w:t>
      </w:r>
      <w:bookmarkEnd w:id="199"/>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p w:rsidR="00BD1BB9" w:rsidRDefault="00452DEF">
      <w:pPr>
        <w:keepNext/>
        <w:keepLines/>
        <w:spacing w:before="300" w:after="300" w:line="280" w:lineRule="exact"/>
        <w:outlineLvl w:val="3"/>
        <w:rPr>
          <w:rFonts w:ascii="宋体" w:eastAsia="宋体" w:hAnsi="宋体" w:cs="宋体"/>
          <w:b/>
          <w:bCs/>
          <w:szCs w:val="21"/>
        </w:rPr>
      </w:pPr>
      <w:bookmarkStart w:id="200" w:name="_Toc989068"/>
      <w:r>
        <w:rPr>
          <w:rFonts w:ascii="宋体" w:eastAsia="宋体" w:hAnsi="宋体" w:cs="宋体"/>
          <w:b/>
          <w:bCs/>
          <w:szCs w:val="21"/>
        </w:rPr>
        <w:t>（1） 存货分类</w:t>
      </w:r>
      <w:bookmarkEnd w:id="200"/>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97,350,150.73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97,350,150.73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202,578,219.18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202,578,219.18</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208,393,860.88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7,457,381.58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200,936,479.30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249,652,521.33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4,751,823.51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244,900,697.82</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发出商品</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11,426,550.55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11,426,550.55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6,610,862.99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6,610,862.99</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317,170,562.16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7,457,381.58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309,713,180.58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458,841,603.50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4,751,823.51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454,089,779.99</w:t>
            </w:r>
          </w:p>
        </w:tc>
      </w:tr>
    </w:tbl>
    <w:p w:rsidR="00BD1BB9" w:rsidRDefault="00452DEF">
      <w:pPr>
        <w:keepNext/>
        <w:keepLines/>
        <w:spacing w:before="300" w:after="300" w:line="280" w:lineRule="exact"/>
        <w:outlineLvl w:val="3"/>
        <w:rPr>
          <w:rFonts w:ascii="宋体" w:eastAsia="宋体" w:hAnsi="宋体" w:cs="宋体"/>
          <w:b/>
          <w:bCs/>
          <w:szCs w:val="21"/>
        </w:rPr>
      </w:pPr>
      <w:bookmarkStart w:id="201" w:name="_Toc989069"/>
      <w:r>
        <w:rPr>
          <w:rFonts w:ascii="宋体" w:eastAsia="宋体" w:hAnsi="宋体" w:cs="宋体"/>
          <w:b/>
          <w:bCs/>
          <w:szCs w:val="21"/>
        </w:rPr>
        <w:t>（2） 存货跌价准备和合同履约成本减值准备</w:t>
      </w:r>
      <w:bookmarkEnd w:id="201"/>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4,751,823.51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3,089,331.90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383,773.83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7,457,381.58</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4,751,823.51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3,089,331.90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383,773.83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7,457,381.58</w:t>
            </w:r>
          </w:p>
        </w:tc>
      </w:tr>
    </w:tbl>
    <w:p w:rsidR="004A3B7E" w:rsidRDefault="00452DEF">
      <w:pPr>
        <w:pStyle w:val="a3"/>
        <w:spacing w:before="0" w:beforeAutospacing="0" w:after="0" w:afterAutospacing="0" w:line="400" w:lineRule="atLeast"/>
        <w:ind w:firstLine="360"/>
        <w:jc w:val="both"/>
        <w:divId w:val="2033719869"/>
        <w:rPr>
          <w:rFonts w:ascii="Times New Roman" w:hAnsi="Times New Roman" w:cs="Times New Roman"/>
          <w:sz w:val="21"/>
          <w:szCs w:val="21"/>
        </w:rPr>
      </w:pPr>
      <w:r>
        <w:rPr>
          <w:rFonts w:cs="Times New Roman" w:hint="eastAsia"/>
          <w:sz w:val="18"/>
          <w:szCs w:val="18"/>
        </w:rPr>
        <w:t>注：可变现净值以存货的估计售价减去至完工估计将要发生的成本、估计的销售费用以及相关税费后的金额为具体依据。</w:t>
      </w:r>
    </w:p>
    <w:p w:rsidR="00BD1BB9" w:rsidRDefault="00452DEF">
      <w:pPr>
        <w:pStyle w:val="3"/>
        <w:spacing w:line="280" w:lineRule="exact"/>
        <w:jc w:val="left"/>
        <w:rPr>
          <w:rFonts w:ascii="宋体" w:hAnsi="宋体" w:cs="宋体"/>
          <w:b/>
          <w:bCs/>
        </w:rPr>
      </w:pPr>
      <w:bookmarkStart w:id="202" w:name="_Toc989070"/>
      <w:r>
        <w:rPr>
          <w:rFonts w:ascii="宋体" w:hAnsi="宋体" w:cs="宋体"/>
          <w:b/>
          <w:bCs/>
        </w:rPr>
        <w:t>9、其他流动资产</w:t>
      </w:r>
      <w:bookmarkEnd w:id="20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增值税留抵税额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9,824,180.50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22,282,109.44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预缴企业所得税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12,144.23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12,144.23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9,836,324.73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22,294,253.67</w:t>
            </w:r>
          </w:p>
        </w:tc>
      </w:tr>
    </w:tbl>
    <w:p w:rsidR="00BD1BB9" w:rsidRDefault="00452DEF">
      <w:pPr>
        <w:pStyle w:val="3"/>
        <w:spacing w:line="280" w:lineRule="exact"/>
        <w:jc w:val="left"/>
        <w:rPr>
          <w:rFonts w:ascii="宋体" w:hAnsi="宋体" w:cs="宋体"/>
          <w:b/>
          <w:bCs/>
        </w:rPr>
      </w:pPr>
      <w:bookmarkStart w:id="203" w:name="_Toc989071"/>
      <w:r>
        <w:rPr>
          <w:rFonts w:ascii="宋体" w:hAnsi="宋体" w:cs="宋体"/>
          <w:b/>
          <w:bCs/>
        </w:rPr>
        <w:t>10、长期股权投资</w:t>
      </w:r>
      <w:bookmarkEnd w:id="203"/>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1"/>
        <w:gridCol w:w="741"/>
        <w:gridCol w:w="741"/>
        <w:gridCol w:w="741"/>
        <w:gridCol w:w="745"/>
        <w:gridCol w:w="741"/>
        <w:gridCol w:w="743"/>
      </w:tblGrid>
      <w:tr w:rsidR="00BD1BB9" w:rsidTr="00122E6C">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BD1BB9" w:rsidTr="00122E6C">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74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4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一、合营企业</w:t>
            </w:r>
          </w:p>
        </w:tc>
      </w:tr>
      <w:tr w:rsidR="00BD1BB9">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BD1BB9" w:rsidTr="00122E6C">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云南屏边华西村矿业有限公司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13,545,804.08</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-219,338.87</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13,326,465.21</w:t>
            </w:r>
          </w:p>
        </w:tc>
        <w:tc>
          <w:tcPr>
            <w:tcW w:w="74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5,565,691.70</w:t>
            </w:r>
          </w:p>
        </w:tc>
      </w:tr>
      <w:tr w:rsidR="00BD1BB9" w:rsidTr="00122E6C">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Source</w:t>
            </w:r>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Photonics Holdings (Cayman) Limited</w:t>
            </w:r>
            <w:r w:rsidR="00122E6C">
              <w:rPr>
                <w:rFonts w:ascii="宋体" w:eastAsia="宋体" w:hAnsi="宋体" w:cs="宋体"/>
                <w:sz w:val="18"/>
                <w:szCs w:val="18"/>
              </w:rPr>
              <w:t>（注）</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1,060,950,817.19</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90,415,088.29</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1,123,323.52</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1,152,489,229.00</w:t>
            </w:r>
          </w:p>
        </w:tc>
        <w:tc>
          <w:tcPr>
            <w:tcW w:w="74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122E6C">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1,340,100,683.74</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23,994,363.34</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1,364,095,047.08</w:t>
            </w:r>
          </w:p>
        </w:tc>
        <w:tc>
          <w:tcPr>
            <w:tcW w:w="74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122E6C">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联储证券股份有限公司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1,062,000,000.00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6,608,047.25</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-93,078.77</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1,068,514,968.48</w:t>
            </w:r>
          </w:p>
        </w:tc>
        <w:tc>
          <w:tcPr>
            <w:tcW w:w="74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88,674,331.02</w:t>
            </w:r>
          </w:p>
        </w:tc>
      </w:tr>
      <w:tr w:rsidR="00BD1BB9" w:rsidTr="00122E6C">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5,056,377.95</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239,022.79</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E72382">
            <w:pPr>
              <w:spacing w:line="240" w:lineRule="exact"/>
              <w:jc w:val="right"/>
              <w:rPr>
                <w:rFonts w:ascii="宋体" w:eastAsia="宋体" w:hAnsi="宋体" w:cs="宋体"/>
                <w:sz w:val="18"/>
                <w:szCs w:val="18"/>
              </w:rPr>
            </w:pPr>
            <w:bookmarkStart w:id="204" w:name="OLE_LINK7"/>
            <w:bookmarkStart w:id="205" w:name="OLE_LINK8"/>
            <w:r>
              <w:rPr>
                <w:rFonts w:ascii="宋体" w:eastAsia="宋体" w:hAnsi="宋体" w:cs="宋体" w:hint="eastAsia"/>
                <w:sz w:val="18"/>
                <w:szCs w:val="18"/>
              </w:rPr>
              <w:t>720,000.00</w:t>
            </w:r>
            <w:bookmarkEnd w:id="204"/>
            <w:bookmarkEnd w:id="205"/>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4,575,400.74</w:t>
            </w:r>
          </w:p>
        </w:tc>
        <w:tc>
          <w:tcPr>
            <w:tcW w:w="74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rsidTr="00122E6C">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3,481,653,682.96</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121,037,182.80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E72382">
            <w:pPr>
              <w:spacing w:line="240" w:lineRule="exact"/>
              <w:jc w:val="right"/>
              <w:rPr>
                <w:rFonts w:ascii="宋体" w:eastAsia="宋体" w:hAnsi="宋体" w:cs="宋体"/>
                <w:sz w:val="18"/>
                <w:szCs w:val="18"/>
              </w:rPr>
            </w:pPr>
            <w:r>
              <w:rPr>
                <w:rFonts w:ascii="宋体" w:eastAsia="宋体" w:hAnsi="宋体" w:cs="宋体" w:hint="eastAsia"/>
                <w:sz w:val="18"/>
                <w:szCs w:val="18"/>
              </w:rPr>
              <w:t>720,000.00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3,603,001,110.51</w:t>
            </w:r>
          </w:p>
        </w:tc>
        <w:tc>
          <w:tcPr>
            <w:tcW w:w="74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94,240,022.72</w:t>
            </w:r>
          </w:p>
        </w:tc>
      </w:tr>
      <w:tr w:rsidR="00BD1BB9" w:rsidTr="00122E6C">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3,481,653,682.96</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121,037,182.80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E72382">
            <w:pPr>
              <w:spacing w:line="240" w:lineRule="exact"/>
              <w:jc w:val="right"/>
              <w:rPr>
                <w:rFonts w:ascii="宋体" w:eastAsia="宋体" w:hAnsi="宋体" w:cs="宋体"/>
                <w:sz w:val="18"/>
                <w:szCs w:val="18"/>
              </w:rPr>
            </w:pPr>
            <w:r>
              <w:rPr>
                <w:rFonts w:ascii="宋体" w:eastAsia="宋体" w:hAnsi="宋体" w:cs="宋体" w:hint="eastAsia"/>
                <w:sz w:val="18"/>
                <w:szCs w:val="18"/>
              </w:rPr>
              <w:t>720,000.00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3,603,001,110.51</w:t>
            </w:r>
          </w:p>
        </w:tc>
        <w:tc>
          <w:tcPr>
            <w:tcW w:w="74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94,240,022.72</w:t>
            </w:r>
          </w:p>
        </w:tc>
      </w:tr>
    </w:tbl>
    <w:p w:rsidR="00122E6C" w:rsidRPr="00DA1A3E" w:rsidRDefault="00122E6C" w:rsidP="00122E6C">
      <w:pPr>
        <w:spacing w:line="400" w:lineRule="exact"/>
        <w:ind w:firstLineChars="200" w:firstLine="360"/>
        <w:rPr>
          <w:rFonts w:asciiTheme="minorEastAsia" w:hAnsiTheme="minorEastAsia" w:cs="Arial"/>
          <w:bCs/>
          <w:sz w:val="18"/>
          <w:szCs w:val="18"/>
        </w:rPr>
      </w:pPr>
      <w:r w:rsidRPr="00DA1A3E">
        <w:rPr>
          <w:rFonts w:asciiTheme="minorEastAsia" w:hAnsiTheme="minorEastAsia" w:cs="Arial" w:hint="eastAsia"/>
          <w:bCs/>
          <w:sz w:val="18"/>
          <w:szCs w:val="18"/>
        </w:rPr>
        <w:t>注：考虑Source Photonics Holdings(Cayman) Limited股权架构拆分影响，以上数据为还原后VENUS PEARL SPV2 CO LIMITED的数据。</w:t>
      </w:r>
    </w:p>
    <w:p w:rsidR="00122E6C" w:rsidRDefault="00122E6C">
      <w:pPr>
        <w:spacing w:before="100" w:after="100" w:line="240" w:lineRule="exact"/>
        <w:rPr>
          <w:rFonts w:ascii="宋体" w:eastAsia="宋体" w:hAnsi="宋体" w:cs="宋体"/>
          <w:sz w:val="18"/>
          <w:szCs w:val="18"/>
        </w:rPr>
      </w:pP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3"/>
        <w:spacing w:line="280" w:lineRule="exact"/>
        <w:jc w:val="left"/>
        <w:rPr>
          <w:rFonts w:ascii="宋体" w:hAnsi="宋体" w:cs="宋体"/>
          <w:b/>
          <w:bCs/>
        </w:rPr>
      </w:pPr>
      <w:bookmarkStart w:id="206" w:name="_Toc989072"/>
      <w:r>
        <w:rPr>
          <w:rFonts w:ascii="宋体" w:hAnsi="宋体" w:cs="宋体"/>
          <w:b/>
          <w:bCs/>
        </w:rPr>
        <w:lastRenderedPageBreak/>
        <w:t>11、其他非流动金融资产</w:t>
      </w:r>
      <w:bookmarkEnd w:id="206"/>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分类以公允价值计量且其变动计入当期损益的金融资产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841,950,369.04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841,950,369.04</w:t>
            </w:r>
          </w:p>
        </w:tc>
      </w:tr>
      <w:tr w:rsidR="00927F8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927F8D" w:rsidRDefault="00927F8D">
            <w:pPr>
              <w:spacing w:line="240" w:lineRule="exact"/>
              <w:rPr>
                <w:rFonts w:ascii="宋体" w:eastAsia="宋体" w:hAnsi="宋体" w:cs="宋体"/>
                <w:sz w:val="18"/>
                <w:szCs w:val="18"/>
              </w:rPr>
            </w:pPr>
            <w:r>
              <w:rPr>
                <w:rFonts w:ascii="宋体" w:eastAsia="宋体" w:hAnsi="宋体" w:cs="宋体"/>
                <w:sz w:val="18"/>
                <w:szCs w:val="18"/>
              </w:rPr>
              <w:t>其中：权益工具投资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927F8D" w:rsidRDefault="00927F8D" w:rsidP="00927F8D">
            <w:pPr>
              <w:spacing w:line="240" w:lineRule="exact"/>
              <w:jc w:val="right"/>
              <w:rPr>
                <w:rFonts w:ascii="宋体" w:eastAsia="宋体" w:hAnsi="宋体" w:cs="宋体"/>
                <w:sz w:val="18"/>
                <w:szCs w:val="18"/>
              </w:rPr>
            </w:pPr>
            <w:r>
              <w:rPr>
                <w:rFonts w:ascii="宋体" w:eastAsia="宋体" w:hAnsi="宋体" w:cs="宋体"/>
                <w:sz w:val="18"/>
                <w:szCs w:val="18"/>
              </w:rPr>
              <w:t>841,950,369.04</w:t>
            </w:r>
          </w:p>
        </w:tc>
        <w:tc>
          <w:tcPr>
            <w:tcW w:w="3213" w:type="dxa"/>
            <w:tcBorders>
              <w:top w:val="single" w:sz="2" w:space="0" w:color="auto"/>
              <w:left w:val="single" w:sz="2" w:space="0" w:color="auto"/>
              <w:bottom w:val="single" w:sz="2" w:space="0" w:color="auto"/>
              <w:right w:val="single" w:sz="2" w:space="0" w:color="auto"/>
            </w:tcBorders>
            <w:vAlign w:val="center"/>
          </w:tcPr>
          <w:p w:rsidR="00927F8D" w:rsidRDefault="00927F8D" w:rsidP="00927F8D">
            <w:pPr>
              <w:spacing w:line="240" w:lineRule="exact"/>
              <w:jc w:val="right"/>
              <w:rPr>
                <w:rFonts w:ascii="宋体" w:eastAsia="宋体" w:hAnsi="宋体" w:cs="宋体"/>
                <w:sz w:val="18"/>
                <w:szCs w:val="18"/>
              </w:rPr>
            </w:pPr>
            <w:r>
              <w:rPr>
                <w:rFonts w:ascii="宋体" w:eastAsia="宋体" w:hAnsi="宋体" w:cs="宋体"/>
                <w:sz w:val="18"/>
                <w:szCs w:val="18"/>
              </w:rPr>
              <w:t>841,950,369.04</w:t>
            </w:r>
          </w:p>
        </w:tc>
      </w:tr>
      <w:tr w:rsidR="00927F8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27F8D" w:rsidRDefault="00927F8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927F8D" w:rsidRDefault="00927F8D">
            <w:pPr>
              <w:spacing w:line="240" w:lineRule="exact"/>
              <w:jc w:val="right"/>
              <w:rPr>
                <w:rFonts w:ascii="宋体" w:eastAsia="宋体" w:hAnsi="宋体" w:cs="宋体"/>
                <w:sz w:val="18"/>
                <w:szCs w:val="18"/>
              </w:rPr>
            </w:pPr>
            <w:r>
              <w:rPr>
                <w:rFonts w:ascii="宋体" w:eastAsia="宋体" w:hAnsi="宋体" w:cs="宋体"/>
                <w:sz w:val="18"/>
                <w:szCs w:val="18"/>
              </w:rPr>
              <w:t>841,950,369.04</w:t>
            </w:r>
          </w:p>
        </w:tc>
        <w:tc>
          <w:tcPr>
            <w:tcW w:w="3213" w:type="dxa"/>
            <w:tcBorders>
              <w:top w:val="single" w:sz="2" w:space="0" w:color="auto"/>
              <w:left w:val="single" w:sz="2" w:space="0" w:color="auto"/>
              <w:bottom w:val="single" w:sz="2" w:space="0" w:color="auto"/>
              <w:right w:val="single" w:sz="2" w:space="0" w:color="auto"/>
            </w:tcBorders>
            <w:vAlign w:val="center"/>
          </w:tcPr>
          <w:p w:rsidR="00927F8D" w:rsidRDefault="00927F8D">
            <w:pPr>
              <w:spacing w:line="240" w:lineRule="exact"/>
              <w:jc w:val="right"/>
              <w:rPr>
                <w:rFonts w:ascii="宋体" w:eastAsia="宋体" w:hAnsi="宋体" w:cs="宋体"/>
                <w:sz w:val="18"/>
                <w:szCs w:val="18"/>
              </w:rPr>
            </w:pPr>
            <w:r>
              <w:rPr>
                <w:rFonts w:ascii="宋体" w:eastAsia="宋体" w:hAnsi="宋体" w:cs="宋体"/>
                <w:sz w:val="18"/>
                <w:szCs w:val="18"/>
              </w:rPr>
              <w:t>841,950,369.04</w:t>
            </w:r>
          </w:p>
        </w:tc>
      </w:tr>
    </w:tbl>
    <w:p w:rsidR="00BD1BB9" w:rsidRDefault="00452DEF">
      <w:pPr>
        <w:pStyle w:val="3"/>
        <w:spacing w:line="280" w:lineRule="exact"/>
        <w:jc w:val="left"/>
        <w:rPr>
          <w:rFonts w:ascii="宋体" w:hAnsi="宋体" w:cs="宋体"/>
          <w:b/>
          <w:bCs/>
        </w:rPr>
      </w:pPr>
      <w:bookmarkStart w:id="207" w:name="_Toc989073"/>
      <w:r>
        <w:rPr>
          <w:rFonts w:ascii="宋体" w:hAnsi="宋体" w:cs="宋体"/>
          <w:b/>
          <w:bCs/>
        </w:rPr>
        <w:t>12、固定资产</w:t>
      </w:r>
      <w:bookmarkEnd w:id="207"/>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550,830,460.78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552,829,127.63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550,830,460.78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552,829,127.63</w:t>
            </w:r>
          </w:p>
        </w:tc>
      </w:tr>
    </w:tbl>
    <w:p w:rsidR="00BD1BB9" w:rsidRDefault="00452DEF">
      <w:pPr>
        <w:keepNext/>
        <w:keepLines/>
        <w:spacing w:before="300" w:after="300" w:line="280" w:lineRule="exact"/>
        <w:outlineLvl w:val="3"/>
        <w:rPr>
          <w:rFonts w:ascii="宋体" w:eastAsia="宋体" w:hAnsi="宋体" w:cs="宋体"/>
          <w:b/>
          <w:bCs/>
          <w:szCs w:val="21"/>
        </w:rPr>
      </w:pPr>
      <w:bookmarkStart w:id="208" w:name="_Toc989074"/>
      <w:r>
        <w:rPr>
          <w:rFonts w:ascii="宋体" w:eastAsia="宋体" w:hAnsi="宋体" w:cs="宋体"/>
          <w:b/>
          <w:bCs/>
          <w:szCs w:val="21"/>
        </w:rPr>
        <w:t>（1） 固定资产情况</w:t>
      </w:r>
      <w:bookmarkEnd w:id="208"/>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运输设备</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其它设备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414,873,434.24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1,381,055,693.03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4,292,234.16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35,088,734.70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1,835,310,096.13</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20,753,055.93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838,483.93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980,851.78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22,572,391.64</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838,483.93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157,522.12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996,006.05</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（2）在建工程转入</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20,753,055.93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823,329.66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21,576,385.59</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414,873,434.24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1,401,808,748.96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5,130,718.09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36,069,586.48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1,857,882,487.77</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189,866,224.21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1,054,792,156.25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3,254,326.52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22,642,829.99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1,270,555,536.97</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6,142,567.98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16,842,926.73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497,821.46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1,087,742.32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24,571,058.49</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6,142,567.98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16,842,926.73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497,821.46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1,087,742.32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24,571,058.49</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196,008,792.19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1,071,635,082.98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3,752,147.98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23,730,572.31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1,295,126,595.46</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11,925,431.53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11,925,431.53</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11,925,431.53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11,925,431.53</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218,864,642.05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318,248,234.45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1,378,570.11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12,339,014.17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550,830,460.78</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225,007,210.03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314,338,105.25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1,037,907.64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12,445,904.71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552,829,127.63</w:t>
            </w:r>
          </w:p>
        </w:tc>
      </w:tr>
    </w:tbl>
    <w:p w:rsidR="00BD1BB9" w:rsidRDefault="00452DEF">
      <w:pPr>
        <w:pStyle w:val="3"/>
        <w:spacing w:line="280" w:lineRule="exact"/>
        <w:jc w:val="left"/>
        <w:rPr>
          <w:rFonts w:ascii="宋体" w:hAnsi="宋体" w:cs="宋体"/>
          <w:b/>
          <w:bCs/>
        </w:rPr>
      </w:pPr>
      <w:bookmarkStart w:id="209" w:name="_Toc989075"/>
      <w:r>
        <w:rPr>
          <w:rFonts w:ascii="宋体" w:hAnsi="宋体" w:cs="宋体"/>
          <w:b/>
          <w:bCs/>
        </w:rPr>
        <w:t>13、在建工程</w:t>
      </w:r>
      <w:bookmarkEnd w:id="209"/>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16,131,764.57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23,584,321.75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16,131,764.57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23,584,321.75</w:t>
            </w:r>
          </w:p>
        </w:tc>
      </w:tr>
    </w:tbl>
    <w:p w:rsidR="00BD1BB9" w:rsidRDefault="00452DEF">
      <w:pPr>
        <w:keepNext/>
        <w:keepLines/>
        <w:spacing w:before="300" w:after="300" w:line="280" w:lineRule="exact"/>
        <w:outlineLvl w:val="3"/>
        <w:rPr>
          <w:rFonts w:ascii="宋体" w:eastAsia="宋体" w:hAnsi="宋体" w:cs="宋体"/>
          <w:b/>
          <w:bCs/>
          <w:szCs w:val="21"/>
        </w:rPr>
      </w:pPr>
      <w:bookmarkStart w:id="210" w:name="_Toc989076"/>
      <w:r>
        <w:rPr>
          <w:rFonts w:ascii="宋体" w:eastAsia="宋体" w:hAnsi="宋体" w:cs="宋体"/>
          <w:b/>
          <w:bCs/>
          <w:szCs w:val="21"/>
        </w:rPr>
        <w:t>（1） 在建工程情况</w:t>
      </w:r>
      <w:bookmarkEnd w:id="210"/>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导热油炉改造项目</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19,372,524.96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19,372,524.96</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热水改造项目</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987,059.62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987,059.62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987,059.62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987,059.62</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聚一节能改造</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1,596,292.75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1,596,292.75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660,000.00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660,000.00</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小码头新建</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567,924.53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567,924.53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528,301.89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528,301.89</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消防泵房改造工程</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132,075.48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132,075.48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132,075.48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132,075.48</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桁架抬高项目</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557,632.46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557,632.46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773,631.49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773,631.49</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尾气回收项目</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3,140,462.82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3,140,462.82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1,130,728.31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1,130,728.31</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新建纺丝车间项目</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9,049,920.87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9,049,920.87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其他项目</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100,396.04</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100,396.04</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16,131,764.57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16,131,764.57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23,584,321.75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23,584,321.75</w:t>
            </w:r>
          </w:p>
        </w:tc>
      </w:tr>
    </w:tbl>
    <w:p w:rsidR="00BD1BB9" w:rsidRDefault="00452DEF">
      <w:pPr>
        <w:keepNext/>
        <w:keepLines/>
        <w:spacing w:before="300" w:after="300" w:line="280" w:lineRule="exact"/>
        <w:outlineLvl w:val="3"/>
        <w:rPr>
          <w:rFonts w:ascii="宋体" w:eastAsia="宋体" w:hAnsi="宋体" w:cs="宋体"/>
          <w:b/>
          <w:bCs/>
          <w:szCs w:val="21"/>
        </w:rPr>
      </w:pPr>
      <w:bookmarkStart w:id="211" w:name="_Toc989077"/>
      <w:r>
        <w:rPr>
          <w:rFonts w:ascii="宋体" w:eastAsia="宋体" w:hAnsi="宋体" w:cs="宋体"/>
          <w:b/>
          <w:bCs/>
          <w:szCs w:val="21"/>
        </w:rPr>
        <w:lastRenderedPageBreak/>
        <w:t>（2） 重要在建工程项目本期变动情况</w:t>
      </w:r>
      <w:bookmarkEnd w:id="211"/>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2"/>
        <w:gridCol w:w="742"/>
        <w:gridCol w:w="742"/>
        <w:gridCol w:w="742"/>
        <w:gridCol w:w="742"/>
        <w:gridCol w:w="742"/>
        <w:gridCol w:w="741"/>
        <w:gridCol w:w="741"/>
        <w:gridCol w:w="741"/>
        <w:gridCol w:w="741"/>
        <w:gridCol w:w="741"/>
        <w:gridCol w:w="741"/>
        <w:gridCol w:w="741"/>
      </w:tblGrid>
      <w:tr w:rsidR="00BD1BB9">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预算数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本期转入固定资产金额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工程累计投入占预算比例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工程进度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利息资本化累计金额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其中：本期利息资本化金额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本期利息资本化率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BD1BB9">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导热油炉改造项目</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22,000,000.00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19,372,524.96</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1,380,530.97</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20,753,055.93</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w:t>
            </w:r>
          </w:p>
        </w:tc>
      </w:tr>
      <w:tr w:rsidR="00BD1BB9">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新建纺丝车间项目</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120,000,000.00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9,049,920.87</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9,049,920.87</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90.23%</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91.54%</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w:t>
            </w:r>
          </w:p>
        </w:tc>
      </w:tr>
      <w:tr w:rsidR="00BD1BB9">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尾气回收项目</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10,500,000.00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1,130,728.31</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2,009,734.51</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3,140,462.82</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66.75%</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68.00%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w:t>
            </w:r>
          </w:p>
        </w:tc>
      </w:tr>
      <w:tr w:rsidR="00BD1BB9">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152,500,000.00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20,503,253.27</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12,440,186.35</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20,753,055.93</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12,190,383.69</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bl>
    <w:p w:rsidR="00BD1BB9" w:rsidRDefault="00452DEF">
      <w:pPr>
        <w:keepNext/>
        <w:keepLines/>
        <w:spacing w:before="300" w:after="300" w:line="280" w:lineRule="exact"/>
        <w:outlineLvl w:val="3"/>
        <w:rPr>
          <w:rFonts w:ascii="宋体" w:eastAsia="宋体" w:hAnsi="宋体" w:cs="宋体"/>
          <w:b/>
          <w:bCs/>
          <w:szCs w:val="21"/>
        </w:rPr>
      </w:pPr>
      <w:bookmarkStart w:id="212" w:name="_Toc989078"/>
      <w:r>
        <w:rPr>
          <w:rFonts w:ascii="宋体" w:eastAsia="宋体" w:hAnsi="宋体" w:cs="宋体"/>
          <w:b/>
          <w:bCs/>
          <w:szCs w:val="21"/>
        </w:rPr>
        <w:t>（3） 在建工程的减值测试情况</w:t>
      </w:r>
      <w:bookmarkEnd w:id="212"/>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3"/>
        <w:spacing w:line="280" w:lineRule="exact"/>
        <w:jc w:val="left"/>
        <w:rPr>
          <w:rFonts w:ascii="宋体" w:hAnsi="宋体" w:cs="宋体"/>
          <w:b/>
          <w:bCs/>
        </w:rPr>
      </w:pPr>
      <w:bookmarkStart w:id="213" w:name="_Toc989079"/>
      <w:r>
        <w:rPr>
          <w:rFonts w:ascii="宋体" w:hAnsi="宋体" w:cs="宋体"/>
          <w:b/>
          <w:bCs/>
        </w:rPr>
        <w:t>14、无形资产</w:t>
      </w:r>
      <w:bookmarkEnd w:id="213"/>
    </w:p>
    <w:p w:rsidR="00BD1BB9" w:rsidRDefault="00452DEF">
      <w:pPr>
        <w:keepNext/>
        <w:keepLines/>
        <w:spacing w:before="300" w:after="300" w:line="280" w:lineRule="exact"/>
        <w:outlineLvl w:val="3"/>
        <w:rPr>
          <w:rFonts w:ascii="宋体" w:eastAsia="宋体" w:hAnsi="宋体" w:cs="宋体"/>
          <w:b/>
          <w:bCs/>
          <w:szCs w:val="21"/>
        </w:rPr>
      </w:pPr>
      <w:bookmarkStart w:id="214" w:name="_Toc989080"/>
      <w:r>
        <w:rPr>
          <w:rFonts w:ascii="宋体" w:eastAsia="宋体" w:hAnsi="宋体" w:cs="宋体"/>
          <w:b/>
          <w:bCs/>
          <w:szCs w:val="21"/>
        </w:rPr>
        <w:t>（1） 无形资产情况</w:t>
      </w:r>
      <w:bookmarkEnd w:id="214"/>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专利权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非专利技术</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软件</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29,466,428.32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1,550,072.57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31,016,500.89</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（2）内部研发</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29,466,428.32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1,550,072.57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31,016,500.89</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二、累计摊销</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10,643,355.37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1,055,703.57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11,699,058.94</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312,012.83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77,784.00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389,796.83</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312,012.83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77,784.00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389,796.83</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10,955,368.20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1,133,487.57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12,088,855.77</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18,511,060.12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416,585.00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18,927,645.12</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18,823,072.95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494,369.00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19,317,441.95</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本期末通过公司内部研发形成的无形资产占无形资产余额的比例</w:t>
      </w:r>
      <w:r w:rsidR="00171976">
        <w:rPr>
          <w:rFonts w:ascii="宋体" w:eastAsia="宋体" w:hAnsi="宋体" w:cs="宋体" w:hint="eastAsia"/>
          <w:sz w:val="18"/>
          <w:szCs w:val="18"/>
        </w:rPr>
        <w:t>0.00%。</w:t>
      </w:r>
    </w:p>
    <w:p w:rsidR="00BD1BB9" w:rsidRDefault="00452DEF">
      <w:pPr>
        <w:keepNext/>
        <w:keepLines/>
        <w:spacing w:before="300" w:after="300" w:line="280" w:lineRule="exact"/>
        <w:outlineLvl w:val="3"/>
        <w:rPr>
          <w:rFonts w:ascii="宋体" w:eastAsia="宋体" w:hAnsi="宋体" w:cs="宋体"/>
          <w:b/>
          <w:bCs/>
          <w:szCs w:val="21"/>
        </w:rPr>
      </w:pPr>
      <w:bookmarkStart w:id="215" w:name="_Toc989081"/>
      <w:r>
        <w:rPr>
          <w:rFonts w:ascii="宋体" w:eastAsia="宋体" w:hAnsi="宋体" w:cs="宋体"/>
          <w:b/>
          <w:bCs/>
          <w:szCs w:val="21"/>
        </w:rPr>
        <w:t>（2） 无形资产的减值测试情况</w:t>
      </w:r>
      <w:bookmarkEnd w:id="215"/>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3"/>
        <w:spacing w:line="280" w:lineRule="exact"/>
        <w:jc w:val="left"/>
        <w:rPr>
          <w:rFonts w:ascii="宋体" w:hAnsi="宋体" w:cs="宋体"/>
          <w:b/>
          <w:bCs/>
        </w:rPr>
      </w:pPr>
      <w:bookmarkStart w:id="216" w:name="_Toc989082"/>
      <w:r>
        <w:rPr>
          <w:rFonts w:ascii="宋体" w:hAnsi="宋体" w:cs="宋体"/>
          <w:b/>
          <w:bCs/>
        </w:rPr>
        <w:t>15、商誉</w:t>
      </w:r>
      <w:bookmarkEnd w:id="216"/>
    </w:p>
    <w:p w:rsidR="00BD1BB9" w:rsidRDefault="00452DEF" w:rsidP="00430BC1">
      <w:pPr>
        <w:keepNext/>
        <w:keepLines/>
        <w:spacing w:before="300" w:after="300" w:line="280" w:lineRule="exact"/>
        <w:outlineLvl w:val="3"/>
        <w:rPr>
          <w:rFonts w:ascii="宋体" w:eastAsia="宋体" w:hAnsi="宋体" w:cs="宋体"/>
          <w:sz w:val="18"/>
          <w:szCs w:val="18"/>
        </w:rPr>
      </w:pPr>
      <w:bookmarkStart w:id="217" w:name="_Toc989083"/>
      <w:r>
        <w:rPr>
          <w:rFonts w:ascii="宋体" w:eastAsia="宋体" w:hAnsi="宋体" w:cs="宋体"/>
          <w:b/>
          <w:bCs/>
          <w:szCs w:val="21"/>
        </w:rPr>
        <w:t>（1） 商誉账面原值</w:t>
      </w:r>
      <w:bookmarkEnd w:id="217"/>
      <w:r w:rsidR="00430BC1">
        <w:rPr>
          <w:rFonts w:ascii="宋体" w:eastAsia="宋体" w:hAnsi="宋体" w:cs="宋体" w:hint="eastAsia"/>
          <w:b/>
          <w:bCs/>
          <w:szCs w:val="21"/>
        </w:rPr>
        <w:t xml:space="preserve">                                                               </w:t>
      </w: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center"/>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center"/>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2,064,864.17</w:t>
            </w:r>
          </w:p>
        </w:tc>
      </w:tr>
    </w:tbl>
    <w:p w:rsidR="00BD1BB9" w:rsidRDefault="00452DEF">
      <w:pPr>
        <w:keepNext/>
        <w:keepLines/>
        <w:spacing w:before="300" w:after="300" w:line="280" w:lineRule="exact"/>
        <w:outlineLvl w:val="3"/>
        <w:rPr>
          <w:rFonts w:ascii="宋体" w:eastAsia="宋体" w:hAnsi="宋体" w:cs="宋体"/>
          <w:b/>
          <w:bCs/>
          <w:szCs w:val="21"/>
        </w:rPr>
      </w:pPr>
      <w:bookmarkStart w:id="218" w:name="_Toc989084"/>
      <w:r>
        <w:rPr>
          <w:rFonts w:ascii="宋体" w:eastAsia="宋体" w:hAnsi="宋体" w:cs="宋体"/>
          <w:b/>
          <w:bCs/>
          <w:szCs w:val="21"/>
        </w:rPr>
        <w:lastRenderedPageBreak/>
        <w:t xml:space="preserve">（2） </w:t>
      </w:r>
      <w:r w:rsidR="00171976">
        <w:rPr>
          <w:rFonts w:ascii="宋体" w:eastAsia="宋体" w:hAnsi="宋体" w:cs="宋体"/>
          <w:b/>
          <w:bCs/>
          <w:szCs w:val="21"/>
        </w:rPr>
        <w:t>其他说明</w:t>
      </w:r>
      <w:bookmarkEnd w:id="218"/>
    </w:p>
    <w:p w:rsidR="004A3B7E" w:rsidRDefault="00452DEF">
      <w:pPr>
        <w:pStyle w:val="a3"/>
        <w:spacing w:before="0" w:beforeAutospacing="0" w:after="0" w:afterAutospacing="0" w:line="400" w:lineRule="atLeast"/>
        <w:ind w:firstLine="360"/>
        <w:jc w:val="both"/>
        <w:divId w:val="1423989191"/>
        <w:rPr>
          <w:rFonts w:ascii="Times New Roman" w:hAnsi="Times New Roman" w:cs="Times New Roman"/>
          <w:sz w:val="21"/>
          <w:szCs w:val="21"/>
        </w:rPr>
      </w:pPr>
      <w:r>
        <w:rPr>
          <w:rFonts w:cs="Times New Roman" w:hint="eastAsia"/>
          <w:sz w:val="18"/>
          <w:szCs w:val="18"/>
        </w:rPr>
        <w:t>（1）系非同一控制下企业合并形成的长期股权投资差额，商誉减值准备系以其账面价值与预计可收回金额之前的差异计算确定，因公司在可预见的将来并无出售此投资的计划，故按未来现金流量现值来确定有关资产组的预计可收回金额。经测试，截至2025年6月30日，此项商誉不存在减值情况。</w:t>
      </w:r>
    </w:p>
    <w:p w:rsidR="004A3B7E" w:rsidRDefault="00452DEF">
      <w:pPr>
        <w:pStyle w:val="a3"/>
        <w:spacing w:before="0" w:beforeAutospacing="0" w:after="0" w:afterAutospacing="0" w:line="400" w:lineRule="atLeast"/>
        <w:ind w:firstLine="360"/>
        <w:jc w:val="both"/>
        <w:divId w:val="1423989191"/>
        <w:rPr>
          <w:rFonts w:ascii="Times New Roman" w:hAnsi="Times New Roman" w:cs="Times New Roman"/>
          <w:sz w:val="21"/>
          <w:szCs w:val="21"/>
        </w:rPr>
      </w:pPr>
      <w:r>
        <w:rPr>
          <w:rFonts w:cs="Times New Roman" w:hint="eastAsia"/>
          <w:sz w:val="18"/>
          <w:szCs w:val="18"/>
        </w:rPr>
        <w:t>（2）商誉所属资产组或资产组组合的相关信息</w:t>
      </w:r>
    </w:p>
    <w:p w:rsidR="004A3B7E" w:rsidRDefault="00452DEF">
      <w:pPr>
        <w:pStyle w:val="a3"/>
        <w:spacing w:before="0" w:beforeAutospacing="0" w:after="0" w:afterAutospacing="0" w:line="400" w:lineRule="atLeast"/>
        <w:ind w:firstLine="360"/>
        <w:jc w:val="both"/>
        <w:divId w:val="1423989191"/>
        <w:rPr>
          <w:rFonts w:ascii="Times New Roman" w:hAnsi="Times New Roman" w:cs="Times New Roman"/>
          <w:sz w:val="21"/>
          <w:szCs w:val="21"/>
        </w:rPr>
      </w:pPr>
      <w:r>
        <w:rPr>
          <w:rFonts w:cs="Times New Roman" w:hint="eastAsia"/>
          <w:sz w:val="18"/>
          <w:szCs w:val="18"/>
        </w:rPr>
        <w:t>商誉所属资产组为江阴华西化工码头有限公司固定资产、无形资产等经营性长期资产，与以前年度保持一致。</w:t>
      </w:r>
    </w:p>
    <w:p w:rsidR="004A3B7E" w:rsidRDefault="00452DEF">
      <w:pPr>
        <w:pStyle w:val="a3"/>
        <w:spacing w:before="0" w:beforeAutospacing="0" w:after="0" w:afterAutospacing="0" w:line="400" w:lineRule="atLeast"/>
        <w:ind w:firstLine="360"/>
        <w:jc w:val="both"/>
        <w:divId w:val="1423989191"/>
        <w:rPr>
          <w:rFonts w:ascii="Times New Roman" w:hAnsi="Times New Roman" w:cs="Times New Roman"/>
          <w:sz w:val="21"/>
          <w:szCs w:val="21"/>
        </w:rPr>
      </w:pPr>
      <w:r>
        <w:rPr>
          <w:rFonts w:cs="Times New Roman" w:hint="eastAsia"/>
          <w:sz w:val="18"/>
          <w:szCs w:val="18"/>
        </w:rPr>
        <w:t>（3）可收回金额的具体确定方法</w:t>
      </w:r>
    </w:p>
    <w:p w:rsidR="004A3B7E" w:rsidRDefault="00452DEF">
      <w:pPr>
        <w:pStyle w:val="a3"/>
        <w:spacing w:before="0" w:beforeAutospacing="0" w:after="0" w:afterAutospacing="0" w:line="400" w:lineRule="atLeast"/>
        <w:ind w:firstLine="360"/>
        <w:jc w:val="both"/>
        <w:divId w:val="1423989191"/>
        <w:rPr>
          <w:rFonts w:ascii="Times New Roman" w:hAnsi="Times New Roman" w:cs="Times New Roman"/>
          <w:sz w:val="21"/>
          <w:szCs w:val="21"/>
        </w:rPr>
      </w:pPr>
      <w:r>
        <w:rPr>
          <w:rFonts w:cs="Times New Roman" w:hint="eastAsia"/>
          <w:sz w:val="18"/>
          <w:szCs w:val="18"/>
        </w:rPr>
        <w:t>可收回金额按预计未来现金流量的现值确定，预测期的年限为5年，预测期内的收入增长率为2%，稳定期增长率2%，折现率为10%。</w:t>
      </w:r>
    </w:p>
    <w:p w:rsidR="00BD1BB9" w:rsidRDefault="00452DEF">
      <w:pPr>
        <w:pStyle w:val="3"/>
        <w:spacing w:line="280" w:lineRule="exact"/>
        <w:jc w:val="left"/>
        <w:rPr>
          <w:rFonts w:ascii="宋体" w:hAnsi="宋体" w:cs="宋体"/>
          <w:b/>
          <w:bCs/>
        </w:rPr>
      </w:pPr>
      <w:bookmarkStart w:id="219" w:name="_Toc989085"/>
      <w:r>
        <w:rPr>
          <w:rFonts w:ascii="宋体" w:hAnsi="宋体" w:cs="宋体"/>
          <w:b/>
          <w:bCs/>
        </w:rPr>
        <w:t>16、递延所得税资产/递延所得税负债</w:t>
      </w:r>
      <w:bookmarkEnd w:id="219"/>
    </w:p>
    <w:p w:rsidR="00BD1BB9" w:rsidRDefault="00452DEF">
      <w:pPr>
        <w:keepNext/>
        <w:keepLines/>
        <w:spacing w:before="300" w:after="300" w:line="280" w:lineRule="exact"/>
        <w:outlineLvl w:val="3"/>
        <w:rPr>
          <w:rFonts w:ascii="宋体" w:eastAsia="宋体" w:hAnsi="宋体" w:cs="宋体"/>
          <w:b/>
          <w:bCs/>
          <w:szCs w:val="21"/>
        </w:rPr>
      </w:pPr>
      <w:bookmarkStart w:id="220" w:name="_Toc989086"/>
      <w:r>
        <w:rPr>
          <w:rFonts w:ascii="宋体" w:eastAsia="宋体" w:hAnsi="宋体" w:cs="宋体"/>
          <w:b/>
          <w:bCs/>
          <w:szCs w:val="21"/>
        </w:rPr>
        <w:t>（1） 未经抵销的递延所得税资产</w:t>
      </w:r>
      <w:bookmarkEnd w:id="220"/>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7,457,381.58</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1,864,345.40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4,751,823.51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1,187,955.88</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11,949,030.99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2,987,257.75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10,709,534.80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2,677,383.70</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信用减值准备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20,319,207.72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4,877,137.56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17,734,757.84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4,255,544.33</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长期股权投资减值准备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94,240,022.72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23,560,005.69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94,240,022.72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23,560,005.68</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预提费用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3,000.00</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72,728,690.17</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18,182,172.54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72,728,690.17</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18,182,172.54</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递延收益</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3,517,500.00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527,625.00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3,752,000.00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562,800.00</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210,231,833.18</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52,001,543.94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203,936,829.04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50,428,862.13</w:t>
            </w:r>
          </w:p>
        </w:tc>
      </w:tr>
    </w:tbl>
    <w:p w:rsidR="00BD1BB9" w:rsidRDefault="00452DEF">
      <w:pPr>
        <w:keepNext/>
        <w:keepLines/>
        <w:spacing w:before="300" w:after="300" w:line="280" w:lineRule="exact"/>
        <w:outlineLvl w:val="3"/>
        <w:rPr>
          <w:rFonts w:ascii="宋体" w:eastAsia="宋体" w:hAnsi="宋体" w:cs="宋体"/>
          <w:b/>
          <w:bCs/>
          <w:szCs w:val="21"/>
        </w:rPr>
      </w:pPr>
      <w:bookmarkStart w:id="221" w:name="_Toc989087"/>
      <w:r>
        <w:rPr>
          <w:rFonts w:ascii="宋体" w:eastAsia="宋体" w:hAnsi="宋体" w:cs="宋体"/>
          <w:b/>
          <w:bCs/>
          <w:szCs w:val="21"/>
        </w:rPr>
        <w:t>（2） 未经抵销的递延所得税负债</w:t>
      </w:r>
      <w:bookmarkEnd w:id="221"/>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非同一控制企业合并资产评估增值</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其他债权投资公允价值变动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其他权益工具投资公允价值变动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170,713,758.70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42,678,439.68</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167,706,743.30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41,926,685.82</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6,554,989.71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1,638,747.42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6,554,989.71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1,638,747.42</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177,268,748.41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44,317,187.10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174,261,733.01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43,565,433.24</w:t>
            </w:r>
          </w:p>
        </w:tc>
      </w:tr>
    </w:tbl>
    <w:p w:rsidR="00BD1BB9" w:rsidRDefault="00452DEF">
      <w:pPr>
        <w:keepNext/>
        <w:keepLines/>
        <w:spacing w:before="300" w:after="300" w:line="280" w:lineRule="exact"/>
        <w:outlineLvl w:val="3"/>
        <w:rPr>
          <w:rFonts w:ascii="宋体" w:eastAsia="宋体" w:hAnsi="宋体" w:cs="宋体"/>
          <w:b/>
          <w:bCs/>
          <w:szCs w:val="21"/>
        </w:rPr>
      </w:pPr>
      <w:bookmarkStart w:id="222" w:name="_Toc989088"/>
      <w:r>
        <w:rPr>
          <w:rFonts w:ascii="宋体" w:eastAsia="宋体" w:hAnsi="宋体" w:cs="宋体"/>
          <w:b/>
          <w:bCs/>
          <w:szCs w:val="21"/>
        </w:rPr>
        <w:lastRenderedPageBreak/>
        <w:t>（3） 以抵销后净额列示的递延所得税资产或负债</w:t>
      </w:r>
      <w:bookmarkEnd w:id="22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递延所得税资产和负债期末互抵金额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抵销后递延所得税资产或负债期末余额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递延所得税资产和负债期初互抵金额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抵销后递延所得税资产或负债期初余额</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15,003,474.15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36,998,069.79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14,298,835.01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36,130,027.12</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15,003,474.15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29,313,712.95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14,298,835.01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29,266,598.23</w:t>
            </w:r>
          </w:p>
        </w:tc>
      </w:tr>
    </w:tbl>
    <w:p w:rsidR="00BD1BB9" w:rsidRDefault="00452DEF">
      <w:pPr>
        <w:keepNext/>
        <w:keepLines/>
        <w:spacing w:before="300" w:after="300" w:line="280" w:lineRule="exact"/>
        <w:outlineLvl w:val="3"/>
        <w:rPr>
          <w:rFonts w:ascii="宋体" w:eastAsia="宋体" w:hAnsi="宋体" w:cs="宋体"/>
          <w:b/>
          <w:bCs/>
          <w:szCs w:val="21"/>
        </w:rPr>
      </w:pPr>
      <w:bookmarkStart w:id="223" w:name="_Toc989089"/>
      <w:r>
        <w:rPr>
          <w:rFonts w:ascii="宋体" w:eastAsia="宋体" w:hAnsi="宋体" w:cs="宋体"/>
          <w:b/>
          <w:bCs/>
          <w:szCs w:val="21"/>
        </w:rPr>
        <w:t>（4） 未确认递延所得税资产明细</w:t>
      </w:r>
      <w:bookmarkEnd w:id="223"/>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11,925,431.53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11,925,476.52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1,098,670.19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700,671.64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13,024,101.72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12,626,148.16</w:t>
            </w:r>
          </w:p>
        </w:tc>
      </w:tr>
    </w:tbl>
    <w:p w:rsidR="00BD1BB9" w:rsidRDefault="00452DEF">
      <w:pPr>
        <w:pStyle w:val="3"/>
        <w:spacing w:line="280" w:lineRule="exact"/>
        <w:jc w:val="left"/>
        <w:rPr>
          <w:rFonts w:ascii="宋体" w:hAnsi="宋体" w:cs="宋体"/>
          <w:b/>
          <w:bCs/>
        </w:rPr>
      </w:pPr>
      <w:bookmarkStart w:id="224" w:name="_Toc989090"/>
      <w:r>
        <w:rPr>
          <w:rFonts w:ascii="宋体" w:hAnsi="宋体" w:cs="宋体"/>
          <w:b/>
          <w:bCs/>
        </w:rPr>
        <w:t>17、其他非流动资产</w:t>
      </w:r>
      <w:bookmarkEnd w:id="224"/>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合同取得成本</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合同履约成本</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应收退货成本</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合同资产</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预付长期资产构建款项</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987,000.00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987,000.00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1,548,900.00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1,548,900.00</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987,000.00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987,000.00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1,548,900.00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1,548,900.00</w:t>
            </w:r>
          </w:p>
        </w:tc>
      </w:tr>
    </w:tbl>
    <w:p w:rsidR="00BD1BB9" w:rsidRDefault="00452DEF">
      <w:pPr>
        <w:pStyle w:val="3"/>
        <w:spacing w:line="280" w:lineRule="exact"/>
        <w:jc w:val="left"/>
        <w:rPr>
          <w:rFonts w:ascii="宋体" w:hAnsi="宋体" w:cs="宋体"/>
          <w:b/>
          <w:bCs/>
        </w:rPr>
      </w:pPr>
      <w:bookmarkStart w:id="225" w:name="_Toc989091"/>
      <w:r>
        <w:rPr>
          <w:rFonts w:ascii="宋体" w:hAnsi="宋体" w:cs="宋体"/>
          <w:b/>
          <w:bCs/>
        </w:rPr>
        <w:t>18、所有权或使用权受到限制的资产</w:t>
      </w:r>
      <w:bookmarkEnd w:id="225"/>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BD1BB9">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w:t>
            </w:r>
          </w:p>
        </w:tc>
      </w:tr>
      <w:tr w:rsidR="00BD1BB9">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299,315,871.55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299,315,871.55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借款保证金、国际信用证保证金、质押的定期存款及利息</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129,331,063.94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129,331,063.94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借款保证金、国际信用证保证金、质押的定期存款及利息</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应收票据</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13,873,400.00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13,873,400.00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票据质押</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14,195,101.20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14,195,101.20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票据质押</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86,220,071.80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86,220,071.80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票据质押</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92,016,699.57</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92,016,699.57</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票据质押</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江阴华西化工码头有限公司75%股权</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361,223,582.33</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361,223,582.33</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中国工商银行借款4,000.00万元由江</w:t>
            </w:r>
            <w:r>
              <w:rPr>
                <w:rFonts w:ascii="宋体" w:eastAsia="宋体" w:hAnsi="宋体" w:cs="宋体"/>
                <w:sz w:val="18"/>
                <w:szCs w:val="18"/>
              </w:rPr>
              <w:lastRenderedPageBreak/>
              <w:t>苏华西集团有限公司提供担保及公司持有的江阴华西化工码头有限公司75%股权质押</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lastRenderedPageBreak/>
              <w:t>339,050,246.99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339,050,246.99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中国工商银行借款4,000.00万元由江</w:t>
            </w:r>
            <w:r>
              <w:rPr>
                <w:rFonts w:ascii="宋体" w:eastAsia="宋体" w:hAnsi="宋体" w:cs="宋体"/>
                <w:sz w:val="18"/>
                <w:szCs w:val="18"/>
              </w:rPr>
              <w:lastRenderedPageBreak/>
              <w:t>苏华西集团有限公司提供担保及公司持有的江阴华西化工码头有限公司75%股权质押</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760,632,925.68</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760,632,925.68</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574,593,111.70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574,593,111.70</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bl>
    <w:p w:rsidR="00BD1BB9" w:rsidRDefault="00452DEF">
      <w:pPr>
        <w:pStyle w:val="3"/>
        <w:spacing w:line="280" w:lineRule="exact"/>
        <w:jc w:val="left"/>
        <w:rPr>
          <w:rFonts w:ascii="宋体" w:hAnsi="宋体" w:cs="宋体"/>
          <w:b/>
          <w:bCs/>
        </w:rPr>
      </w:pPr>
      <w:bookmarkStart w:id="226" w:name="_Toc989092"/>
      <w:r>
        <w:rPr>
          <w:rFonts w:ascii="宋体" w:hAnsi="宋体" w:cs="宋体"/>
          <w:b/>
          <w:bCs/>
        </w:rPr>
        <w:t>19、短期借款</w:t>
      </w:r>
      <w:bookmarkEnd w:id="226"/>
    </w:p>
    <w:p w:rsidR="00BD1BB9" w:rsidRDefault="00452DEF">
      <w:pPr>
        <w:keepNext/>
        <w:keepLines/>
        <w:spacing w:before="300" w:after="300" w:line="280" w:lineRule="exact"/>
        <w:outlineLvl w:val="3"/>
        <w:rPr>
          <w:rFonts w:ascii="宋体" w:eastAsia="宋体" w:hAnsi="宋体" w:cs="宋体"/>
          <w:b/>
          <w:bCs/>
          <w:szCs w:val="21"/>
        </w:rPr>
      </w:pPr>
      <w:bookmarkStart w:id="227" w:name="_Toc989093"/>
      <w:r>
        <w:rPr>
          <w:rFonts w:ascii="宋体" w:eastAsia="宋体" w:hAnsi="宋体" w:cs="宋体"/>
          <w:b/>
          <w:bCs/>
          <w:szCs w:val="21"/>
        </w:rPr>
        <w:t>（1） 短期借款分类</w:t>
      </w:r>
      <w:bookmarkEnd w:id="227"/>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562,432,661.05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332,338,618.49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596,701,911.11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645,501,655.54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379,486.13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450,679.17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1,159,514,058.29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978,290,953.20</w:t>
            </w:r>
          </w:p>
        </w:tc>
      </w:tr>
    </w:tbl>
    <w:p w:rsidR="00BD1BB9" w:rsidRDefault="00452DEF">
      <w:pPr>
        <w:keepNext/>
        <w:keepLines/>
        <w:spacing w:before="300" w:after="300" w:line="280" w:lineRule="exact"/>
        <w:outlineLvl w:val="3"/>
        <w:rPr>
          <w:rFonts w:ascii="宋体" w:eastAsia="宋体" w:hAnsi="宋体" w:cs="宋体"/>
          <w:b/>
          <w:bCs/>
          <w:szCs w:val="21"/>
        </w:rPr>
      </w:pPr>
      <w:bookmarkStart w:id="228" w:name="_Toc989094"/>
      <w:r>
        <w:rPr>
          <w:rFonts w:ascii="宋体" w:eastAsia="宋体" w:hAnsi="宋体" w:cs="宋体"/>
          <w:b/>
          <w:bCs/>
          <w:szCs w:val="21"/>
        </w:rPr>
        <w:t>（2） 已逾期未偿还的短期借款情况</w:t>
      </w:r>
      <w:bookmarkEnd w:id="228"/>
    </w:p>
    <w:p w:rsidR="004A3B7E" w:rsidRDefault="00452DEF">
      <w:pPr>
        <w:pStyle w:val="a3"/>
        <w:spacing w:before="0" w:beforeAutospacing="0" w:after="0" w:afterAutospacing="0" w:line="400" w:lineRule="atLeast"/>
        <w:ind w:firstLine="360"/>
        <w:jc w:val="both"/>
        <w:divId w:val="876702298"/>
        <w:rPr>
          <w:rFonts w:ascii="Times New Roman" w:hAnsi="Times New Roman" w:cs="Times New Roman"/>
          <w:sz w:val="21"/>
          <w:szCs w:val="21"/>
        </w:rPr>
      </w:pPr>
      <w:r>
        <w:rPr>
          <w:rFonts w:cs="Times New Roman" w:hint="eastAsia"/>
          <w:sz w:val="18"/>
          <w:szCs w:val="18"/>
        </w:rPr>
        <w:t>截至报告期末，公司无已逾期未偿还</w:t>
      </w:r>
      <w:r w:rsidR="00965882">
        <w:rPr>
          <w:rFonts w:cs="Times New Roman" w:hint="eastAsia"/>
          <w:sz w:val="18"/>
          <w:szCs w:val="18"/>
        </w:rPr>
        <w:t>的</w:t>
      </w:r>
      <w:r>
        <w:rPr>
          <w:rFonts w:cs="Times New Roman" w:hint="eastAsia"/>
          <w:sz w:val="18"/>
          <w:szCs w:val="18"/>
        </w:rPr>
        <w:t>短期借款。</w:t>
      </w:r>
    </w:p>
    <w:p w:rsidR="00BD1BB9" w:rsidRDefault="00452DEF">
      <w:pPr>
        <w:pStyle w:val="3"/>
        <w:spacing w:line="280" w:lineRule="exact"/>
        <w:jc w:val="left"/>
        <w:rPr>
          <w:rFonts w:ascii="宋体" w:hAnsi="宋体" w:cs="宋体"/>
          <w:b/>
          <w:bCs/>
        </w:rPr>
      </w:pPr>
      <w:bookmarkStart w:id="229" w:name="_Toc989095"/>
      <w:r>
        <w:rPr>
          <w:rFonts w:ascii="宋体" w:hAnsi="宋体" w:cs="宋体"/>
          <w:b/>
          <w:bCs/>
        </w:rPr>
        <w:t>20、应付账款</w:t>
      </w:r>
      <w:bookmarkEnd w:id="229"/>
    </w:p>
    <w:p w:rsidR="00BD1BB9" w:rsidRDefault="00452DEF">
      <w:pPr>
        <w:keepNext/>
        <w:keepLines/>
        <w:spacing w:before="300" w:after="300" w:line="280" w:lineRule="exact"/>
        <w:outlineLvl w:val="3"/>
        <w:rPr>
          <w:rFonts w:ascii="宋体" w:eastAsia="宋体" w:hAnsi="宋体" w:cs="宋体"/>
          <w:b/>
          <w:bCs/>
          <w:sz w:val="18"/>
          <w:szCs w:val="18"/>
        </w:rPr>
      </w:pPr>
      <w:bookmarkStart w:id="230" w:name="_Toc989096"/>
      <w:r>
        <w:rPr>
          <w:rFonts w:ascii="宋体" w:eastAsia="宋体" w:hAnsi="宋体" w:cs="宋体"/>
          <w:b/>
          <w:bCs/>
          <w:sz w:val="18"/>
          <w:szCs w:val="18"/>
        </w:rPr>
        <w:t>（1） 应付账款列示</w:t>
      </w:r>
      <w:bookmarkEnd w:id="230"/>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应付商品劳务款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71,741,281.18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135,347,030.11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应付工程设备款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24,170,409.46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22,197,924.16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95,911,690.64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157,544,954.27</w:t>
            </w:r>
          </w:p>
        </w:tc>
      </w:tr>
    </w:tbl>
    <w:p w:rsidR="00BD1BB9" w:rsidRDefault="00452DEF">
      <w:pPr>
        <w:keepNext/>
        <w:keepLines/>
        <w:spacing w:before="300" w:after="300" w:line="280" w:lineRule="exact"/>
        <w:outlineLvl w:val="3"/>
        <w:rPr>
          <w:rFonts w:ascii="宋体" w:eastAsia="宋体" w:hAnsi="宋体" w:cs="宋体"/>
          <w:b/>
          <w:bCs/>
          <w:sz w:val="18"/>
          <w:szCs w:val="18"/>
        </w:rPr>
      </w:pPr>
      <w:bookmarkStart w:id="231" w:name="_Toc989097"/>
      <w:r>
        <w:rPr>
          <w:rFonts w:ascii="宋体" w:eastAsia="宋体" w:hAnsi="宋体" w:cs="宋体"/>
          <w:b/>
          <w:bCs/>
          <w:sz w:val="18"/>
          <w:szCs w:val="18"/>
        </w:rPr>
        <w:t>（2） 账龄超过1年或逾期的重要应付账款</w:t>
      </w:r>
      <w:bookmarkEnd w:id="231"/>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未偿还或结转的原因</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应付单位A</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7,540,000.00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款项尚未结算</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7,540,000.00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bl>
    <w:p w:rsidR="00BD1BB9" w:rsidRDefault="00452DEF">
      <w:pPr>
        <w:pStyle w:val="3"/>
        <w:spacing w:line="280" w:lineRule="exact"/>
        <w:jc w:val="left"/>
        <w:rPr>
          <w:rFonts w:ascii="宋体" w:hAnsi="宋体" w:cs="宋体"/>
          <w:b/>
          <w:bCs/>
        </w:rPr>
      </w:pPr>
      <w:bookmarkStart w:id="232" w:name="_Toc989098"/>
      <w:r>
        <w:rPr>
          <w:rFonts w:ascii="宋体" w:hAnsi="宋体" w:cs="宋体"/>
          <w:b/>
          <w:bCs/>
        </w:rPr>
        <w:t>21、其他应付款</w:t>
      </w:r>
      <w:bookmarkEnd w:id="23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965882" w:rsidRDefault="00965882">
      <w:pPr>
        <w:spacing w:before="40" w:after="40" w:line="240" w:lineRule="exact"/>
        <w:jc w:val="right"/>
        <w:rPr>
          <w:rFonts w:ascii="宋体" w:eastAsia="宋体" w:hAnsi="宋体" w:cs="宋体"/>
          <w:sz w:val="18"/>
          <w:szCs w:val="18"/>
        </w:rPr>
      </w:pPr>
    </w:p>
    <w:p w:rsidR="00965882" w:rsidRDefault="00965882">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597,900.54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544,749.91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597,900.54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544,749.91</w:t>
            </w:r>
          </w:p>
        </w:tc>
      </w:tr>
    </w:tbl>
    <w:p w:rsidR="00BD1BB9" w:rsidRDefault="00452DEF">
      <w:pPr>
        <w:keepNext/>
        <w:keepLines/>
        <w:spacing w:before="300" w:after="300" w:line="280" w:lineRule="exact"/>
        <w:outlineLvl w:val="3"/>
        <w:rPr>
          <w:rFonts w:ascii="宋体" w:eastAsia="宋体" w:hAnsi="宋体" w:cs="宋体"/>
          <w:b/>
          <w:bCs/>
          <w:szCs w:val="21"/>
        </w:rPr>
      </w:pPr>
      <w:bookmarkStart w:id="233" w:name="_Toc989099"/>
      <w:r>
        <w:rPr>
          <w:rFonts w:ascii="宋体" w:eastAsia="宋体" w:hAnsi="宋体" w:cs="宋体"/>
          <w:b/>
          <w:bCs/>
          <w:szCs w:val="21"/>
        </w:rPr>
        <w:t>（1） 其他应付款</w:t>
      </w:r>
      <w:bookmarkEnd w:id="233"/>
    </w:p>
    <w:p w:rsidR="00BD1BB9" w:rsidRDefault="00452DEF">
      <w:pPr>
        <w:keepNext/>
        <w:keepLines/>
        <w:spacing w:before="300" w:after="300" w:line="280" w:lineRule="exact"/>
        <w:outlineLvl w:val="4"/>
        <w:rPr>
          <w:rFonts w:ascii="宋体" w:eastAsia="宋体" w:hAnsi="宋体" w:cs="宋体"/>
          <w:b/>
          <w:bCs/>
          <w:sz w:val="18"/>
          <w:szCs w:val="18"/>
        </w:rPr>
      </w:pPr>
      <w:bookmarkStart w:id="234" w:name="_Toc989100"/>
      <w:r>
        <w:rPr>
          <w:rFonts w:ascii="宋体" w:eastAsia="宋体" w:hAnsi="宋体" w:cs="宋体"/>
          <w:b/>
          <w:bCs/>
          <w:sz w:val="18"/>
          <w:szCs w:val="18"/>
        </w:rPr>
        <w:t>1） 按款项性质列示其他应付款</w:t>
      </w:r>
      <w:bookmarkEnd w:id="234"/>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174,083.69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122,539.11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23,816.85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22,210.80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597,900.54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544,749.91</w:t>
            </w:r>
          </w:p>
        </w:tc>
      </w:tr>
    </w:tbl>
    <w:p w:rsidR="00BD1BB9" w:rsidRDefault="00452DEF">
      <w:pPr>
        <w:keepNext/>
        <w:keepLines/>
        <w:spacing w:before="300" w:after="300" w:line="280" w:lineRule="exact"/>
        <w:outlineLvl w:val="4"/>
        <w:rPr>
          <w:rFonts w:ascii="宋体" w:eastAsia="宋体" w:hAnsi="宋体" w:cs="宋体"/>
          <w:b/>
          <w:bCs/>
          <w:sz w:val="18"/>
          <w:szCs w:val="18"/>
        </w:rPr>
      </w:pPr>
      <w:bookmarkStart w:id="235" w:name="_Toc989101"/>
      <w:r>
        <w:rPr>
          <w:rFonts w:ascii="宋体" w:eastAsia="宋体" w:hAnsi="宋体" w:cs="宋体"/>
          <w:b/>
          <w:bCs/>
          <w:sz w:val="18"/>
          <w:szCs w:val="18"/>
        </w:rPr>
        <w:t>2） 账龄超过1年或逾期的重要其他应付款</w:t>
      </w:r>
      <w:bookmarkEnd w:id="235"/>
    </w:p>
    <w:p w:rsidR="004A3B7E" w:rsidRDefault="00452DEF">
      <w:pPr>
        <w:pStyle w:val="a3"/>
        <w:spacing w:before="0" w:beforeAutospacing="0" w:after="0" w:afterAutospacing="0" w:line="400" w:lineRule="atLeast"/>
        <w:ind w:firstLine="360"/>
        <w:jc w:val="both"/>
        <w:divId w:val="1852599596"/>
        <w:rPr>
          <w:rFonts w:ascii="Times New Roman" w:hAnsi="Times New Roman" w:cs="Times New Roman"/>
          <w:sz w:val="21"/>
          <w:szCs w:val="21"/>
        </w:rPr>
      </w:pPr>
      <w:r>
        <w:rPr>
          <w:rFonts w:cs="Times New Roman" w:hint="eastAsia"/>
          <w:sz w:val="18"/>
          <w:szCs w:val="18"/>
        </w:rPr>
        <w:t>公司无账龄超过1年的重要其他应付款。</w:t>
      </w:r>
    </w:p>
    <w:p w:rsidR="00BD1BB9" w:rsidRDefault="00452DEF">
      <w:pPr>
        <w:pStyle w:val="3"/>
        <w:spacing w:line="280" w:lineRule="exact"/>
        <w:jc w:val="left"/>
        <w:rPr>
          <w:rFonts w:ascii="宋体" w:hAnsi="宋体" w:cs="宋体"/>
          <w:b/>
          <w:bCs/>
        </w:rPr>
      </w:pPr>
      <w:bookmarkStart w:id="236" w:name="_Toc989102"/>
      <w:r>
        <w:rPr>
          <w:rFonts w:ascii="宋体" w:hAnsi="宋体" w:cs="宋体"/>
          <w:b/>
          <w:bCs/>
        </w:rPr>
        <w:t>22、预收款项</w:t>
      </w:r>
      <w:bookmarkEnd w:id="236"/>
    </w:p>
    <w:p w:rsidR="00BD1BB9" w:rsidRDefault="00452DEF">
      <w:pPr>
        <w:keepNext/>
        <w:keepLines/>
        <w:spacing w:before="300" w:after="300" w:line="280" w:lineRule="exact"/>
        <w:outlineLvl w:val="3"/>
        <w:rPr>
          <w:rFonts w:ascii="宋体" w:eastAsia="宋体" w:hAnsi="宋体" w:cs="宋体"/>
          <w:b/>
          <w:bCs/>
          <w:szCs w:val="21"/>
        </w:rPr>
      </w:pPr>
      <w:bookmarkStart w:id="237" w:name="_Toc989103"/>
      <w:r>
        <w:rPr>
          <w:rFonts w:ascii="宋体" w:eastAsia="宋体" w:hAnsi="宋体" w:cs="宋体"/>
          <w:b/>
          <w:bCs/>
          <w:szCs w:val="21"/>
        </w:rPr>
        <w:t>（1） 预收款项列示</w:t>
      </w:r>
      <w:bookmarkEnd w:id="237"/>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预收仓储款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2,301,825.75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3,295,307.31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2,301,825.75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3,295,307.31</w:t>
            </w:r>
          </w:p>
        </w:tc>
      </w:tr>
    </w:tbl>
    <w:p w:rsidR="00BD1BB9" w:rsidRDefault="00452DEF">
      <w:pPr>
        <w:keepNext/>
        <w:keepLines/>
        <w:spacing w:before="300" w:after="300" w:line="280" w:lineRule="exact"/>
        <w:outlineLvl w:val="3"/>
        <w:rPr>
          <w:rFonts w:ascii="宋体" w:eastAsia="宋体" w:hAnsi="宋体" w:cs="宋体"/>
          <w:b/>
          <w:bCs/>
          <w:szCs w:val="21"/>
        </w:rPr>
      </w:pPr>
      <w:bookmarkStart w:id="238" w:name="_Toc989104"/>
      <w:r>
        <w:rPr>
          <w:rFonts w:ascii="宋体" w:eastAsia="宋体" w:hAnsi="宋体" w:cs="宋体"/>
          <w:b/>
          <w:bCs/>
          <w:szCs w:val="21"/>
        </w:rPr>
        <w:t>（2） 账龄超过1年或逾期的重要预收款项</w:t>
      </w:r>
      <w:bookmarkEnd w:id="238"/>
    </w:p>
    <w:p w:rsidR="004A3B7E" w:rsidRDefault="00452DEF">
      <w:pPr>
        <w:pStyle w:val="a3"/>
        <w:spacing w:before="0" w:beforeAutospacing="0" w:after="0" w:afterAutospacing="0" w:line="400" w:lineRule="atLeast"/>
        <w:ind w:firstLine="360"/>
        <w:jc w:val="both"/>
        <w:divId w:val="1539320091"/>
        <w:rPr>
          <w:rFonts w:ascii="Times New Roman" w:hAnsi="Times New Roman" w:cs="Times New Roman"/>
          <w:sz w:val="21"/>
          <w:szCs w:val="21"/>
        </w:rPr>
      </w:pPr>
      <w:r>
        <w:rPr>
          <w:rFonts w:cs="Times New Roman" w:hint="eastAsia"/>
          <w:sz w:val="18"/>
          <w:szCs w:val="18"/>
        </w:rPr>
        <w:t>公司无账龄超过1年的重要预收款项。</w:t>
      </w:r>
    </w:p>
    <w:p w:rsidR="00BD1BB9" w:rsidRDefault="00452DEF">
      <w:pPr>
        <w:pStyle w:val="3"/>
        <w:spacing w:line="280" w:lineRule="exact"/>
        <w:jc w:val="left"/>
        <w:rPr>
          <w:rFonts w:ascii="宋体" w:hAnsi="宋体" w:cs="宋体"/>
          <w:b/>
          <w:bCs/>
        </w:rPr>
      </w:pPr>
      <w:bookmarkStart w:id="239" w:name="_Toc989105"/>
      <w:r>
        <w:rPr>
          <w:rFonts w:ascii="宋体" w:hAnsi="宋体" w:cs="宋体"/>
          <w:b/>
          <w:bCs/>
        </w:rPr>
        <w:t>23、合同负债</w:t>
      </w:r>
      <w:bookmarkEnd w:id="239"/>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预收销售合同货款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148,080,475.10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98,613,171.27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减：计入其他流动负债（附注七、27）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16,814,163.71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11,089,764.99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131,266,311.39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87,523,406.28</w:t>
            </w:r>
          </w:p>
        </w:tc>
      </w:tr>
    </w:tbl>
    <w:p w:rsidR="00927F8D" w:rsidRPr="00DA1A3E" w:rsidRDefault="00927F8D" w:rsidP="00927F8D">
      <w:pPr>
        <w:spacing w:line="400" w:lineRule="exact"/>
        <w:ind w:firstLineChars="200" w:firstLine="360"/>
        <w:rPr>
          <w:rFonts w:asciiTheme="minorEastAsia" w:hAnsiTheme="minorEastAsia" w:cs="Arial"/>
          <w:sz w:val="18"/>
          <w:szCs w:val="18"/>
        </w:rPr>
      </w:pPr>
      <w:bookmarkStart w:id="240" w:name="_Toc989106"/>
      <w:r>
        <w:rPr>
          <w:rFonts w:asciiTheme="minorEastAsia" w:hAnsiTheme="minorEastAsia" w:cs="Arial" w:hint="eastAsia"/>
          <w:sz w:val="18"/>
          <w:szCs w:val="18"/>
        </w:rPr>
        <w:t>注：</w:t>
      </w:r>
      <w:r w:rsidRPr="00DA1A3E">
        <w:rPr>
          <w:rFonts w:asciiTheme="minorEastAsia" w:hAnsiTheme="minorEastAsia" w:cs="Arial" w:hint="eastAsia"/>
          <w:sz w:val="18"/>
          <w:szCs w:val="18"/>
        </w:rPr>
        <w:t>公司无账龄超过1年的重要合同负债。</w:t>
      </w:r>
    </w:p>
    <w:p w:rsidR="00BD1BB9" w:rsidRDefault="00452DEF">
      <w:pPr>
        <w:pStyle w:val="3"/>
        <w:spacing w:line="280" w:lineRule="exact"/>
        <w:jc w:val="left"/>
        <w:rPr>
          <w:rFonts w:ascii="宋体" w:hAnsi="宋体" w:cs="宋体"/>
          <w:b/>
          <w:bCs/>
        </w:rPr>
      </w:pPr>
      <w:r>
        <w:rPr>
          <w:rFonts w:ascii="宋体" w:hAnsi="宋体" w:cs="宋体"/>
          <w:b/>
          <w:bCs/>
        </w:rPr>
        <w:t>24、应付职工薪酬</w:t>
      </w:r>
      <w:bookmarkEnd w:id="240"/>
    </w:p>
    <w:p w:rsidR="00BD1BB9" w:rsidRDefault="00452DEF">
      <w:pPr>
        <w:keepNext/>
        <w:keepLines/>
        <w:spacing w:before="300" w:after="300" w:line="280" w:lineRule="exact"/>
        <w:outlineLvl w:val="3"/>
        <w:rPr>
          <w:rFonts w:ascii="宋体" w:eastAsia="宋体" w:hAnsi="宋体" w:cs="宋体"/>
          <w:b/>
          <w:bCs/>
          <w:szCs w:val="21"/>
        </w:rPr>
      </w:pPr>
      <w:bookmarkStart w:id="241" w:name="_Toc989107"/>
      <w:r>
        <w:rPr>
          <w:rFonts w:ascii="宋体" w:eastAsia="宋体" w:hAnsi="宋体" w:cs="宋体"/>
          <w:b/>
          <w:bCs/>
          <w:szCs w:val="21"/>
        </w:rPr>
        <w:t>（1） 应付职工薪酬列示</w:t>
      </w:r>
      <w:bookmarkEnd w:id="241"/>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35,013,516.84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61,903,077.67</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73,387,013.19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23,529,581.32</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21,779.81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4,009,644.56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4,008,798.95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22,625.42</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35,035,296.65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65,912,722.23</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77,395,812.14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23,552,206.74</w:t>
            </w:r>
          </w:p>
        </w:tc>
      </w:tr>
    </w:tbl>
    <w:p w:rsidR="00BD1BB9" w:rsidRDefault="00452DEF">
      <w:pPr>
        <w:keepNext/>
        <w:keepLines/>
        <w:spacing w:before="300" w:after="300" w:line="280" w:lineRule="exact"/>
        <w:outlineLvl w:val="3"/>
        <w:rPr>
          <w:rFonts w:ascii="宋体" w:eastAsia="宋体" w:hAnsi="宋体" w:cs="宋体"/>
          <w:b/>
          <w:bCs/>
          <w:szCs w:val="21"/>
        </w:rPr>
      </w:pPr>
      <w:bookmarkStart w:id="242" w:name="_Toc989108"/>
      <w:r>
        <w:rPr>
          <w:rFonts w:ascii="宋体" w:eastAsia="宋体" w:hAnsi="宋体" w:cs="宋体"/>
          <w:b/>
          <w:bCs/>
          <w:szCs w:val="21"/>
        </w:rPr>
        <w:t>（2） 短期薪酬列示</w:t>
      </w:r>
      <w:bookmarkEnd w:id="24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33,533,768.86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54,174,390.00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65,678,207.12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22,029,951.74</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2、职工福利费</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3,599,237.22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3,599,237.22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3、社会保险费</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13,537.81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2,216,456.13</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2,217,213.98</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12,779.96</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13,199.89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1,758,795.89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1,760,340.25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11,655.53</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337.92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265,048.14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264,947.26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438.80</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生育保险费</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192,612.10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191,926.47</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685.63</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4、住房公积金</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6,400.00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827,231.00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827,231.00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6,400.00</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1,459,810.17</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1,085,763.32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1,065,123.87</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1,480,449.62</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35,013,516.84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61,903,077.67</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73,387,013.19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23,529,581.32</w:t>
            </w:r>
          </w:p>
        </w:tc>
      </w:tr>
    </w:tbl>
    <w:p w:rsidR="00BD1BB9" w:rsidRDefault="00452DEF">
      <w:pPr>
        <w:keepNext/>
        <w:keepLines/>
        <w:spacing w:before="300" w:after="300" w:line="280" w:lineRule="exact"/>
        <w:outlineLvl w:val="3"/>
        <w:rPr>
          <w:rFonts w:ascii="宋体" w:eastAsia="宋体" w:hAnsi="宋体" w:cs="宋体"/>
          <w:b/>
          <w:bCs/>
          <w:szCs w:val="21"/>
        </w:rPr>
      </w:pPr>
      <w:bookmarkStart w:id="243" w:name="_Toc989109"/>
      <w:r>
        <w:rPr>
          <w:rFonts w:ascii="宋体" w:eastAsia="宋体" w:hAnsi="宋体" w:cs="宋体"/>
          <w:b/>
          <w:bCs/>
          <w:szCs w:val="21"/>
        </w:rPr>
        <w:t>（3） 设定提存计划列示</w:t>
      </w:r>
      <w:bookmarkEnd w:id="243"/>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21,119.80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3,888,117.61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3,887,297.62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21,939.79</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660.01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121,526.95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121,501.33</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685.63</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21,779.81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4,009,644.56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4,008,798.95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22,625.42</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DE732E">
        <w:rPr>
          <w:rFonts w:ascii="宋体" w:eastAsia="宋体" w:hAnsi="宋体" w:cs="宋体"/>
          <w:sz w:val="18"/>
          <w:szCs w:val="18"/>
        </w:rPr>
        <w:t>：</w:t>
      </w:r>
    </w:p>
    <w:p w:rsidR="004A3B7E" w:rsidRDefault="00452DEF">
      <w:pPr>
        <w:pStyle w:val="a3"/>
        <w:spacing w:before="0" w:beforeAutospacing="0" w:after="0" w:afterAutospacing="0" w:line="400" w:lineRule="atLeast"/>
        <w:ind w:firstLine="360"/>
        <w:jc w:val="both"/>
        <w:divId w:val="106197797"/>
        <w:rPr>
          <w:rFonts w:ascii="Times New Roman" w:hAnsi="Times New Roman" w:cs="Times New Roman"/>
          <w:sz w:val="21"/>
          <w:szCs w:val="21"/>
        </w:rPr>
      </w:pPr>
      <w:r>
        <w:rPr>
          <w:rFonts w:cs="Times New Roman" w:hint="eastAsia"/>
          <w:sz w:val="18"/>
          <w:szCs w:val="18"/>
        </w:rPr>
        <w:t>本公司按规定参加由政府机构设立的养老保险、失业保险计划，根据该等计划，本公司分别按员工基本工资的16.00%、0.50%，每月向该等计划缴存费用。除上述每月缴存费用外，本公司不再承担进一步支付义务。相应的支出于发生时计入当期损益或相关资产的成本。</w:t>
      </w:r>
    </w:p>
    <w:p w:rsidR="00BD1BB9" w:rsidRDefault="00452DEF">
      <w:pPr>
        <w:pStyle w:val="3"/>
        <w:spacing w:line="280" w:lineRule="exact"/>
        <w:jc w:val="left"/>
        <w:rPr>
          <w:rFonts w:ascii="宋体" w:hAnsi="宋体" w:cs="宋体"/>
          <w:b/>
          <w:bCs/>
        </w:rPr>
      </w:pPr>
      <w:bookmarkStart w:id="244" w:name="_Toc989110"/>
      <w:r>
        <w:rPr>
          <w:rFonts w:ascii="宋体" w:hAnsi="宋体" w:cs="宋体"/>
          <w:b/>
          <w:bCs/>
        </w:rPr>
        <w:t>25、应交税费</w:t>
      </w:r>
      <w:bookmarkEnd w:id="244"/>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11,215,470.53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250,726.00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10,258,048.09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11,821,815.76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145,978.16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298,919.13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671,695.77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4,253.54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662,681.43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3,880.75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642,096.51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641,779.07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233,375.80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235,320.80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611,949.01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583,143.07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环境保护税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9,231.90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24,450,295.30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13,849,070.02</w:t>
            </w:r>
          </w:p>
        </w:tc>
      </w:tr>
    </w:tbl>
    <w:p w:rsidR="00BD1BB9" w:rsidRDefault="00452DEF">
      <w:pPr>
        <w:pStyle w:val="3"/>
        <w:spacing w:line="280" w:lineRule="exact"/>
        <w:jc w:val="left"/>
        <w:rPr>
          <w:rFonts w:ascii="宋体" w:hAnsi="宋体" w:cs="宋体"/>
          <w:b/>
          <w:bCs/>
        </w:rPr>
      </w:pPr>
      <w:bookmarkStart w:id="245" w:name="_Toc989111"/>
      <w:r>
        <w:rPr>
          <w:rFonts w:ascii="宋体" w:hAnsi="宋体" w:cs="宋体"/>
          <w:b/>
          <w:bCs/>
        </w:rPr>
        <w:t>26、一年内到期的非流动负债</w:t>
      </w:r>
      <w:bookmarkEnd w:id="245"/>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19,000,000.00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17,100.00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19,017,100.00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bl>
    <w:p w:rsidR="00BD1BB9" w:rsidRDefault="00452DEF">
      <w:pPr>
        <w:pStyle w:val="3"/>
        <w:spacing w:line="280" w:lineRule="exact"/>
        <w:jc w:val="left"/>
        <w:rPr>
          <w:rFonts w:ascii="宋体" w:hAnsi="宋体" w:cs="宋体"/>
          <w:b/>
          <w:bCs/>
        </w:rPr>
      </w:pPr>
      <w:bookmarkStart w:id="246" w:name="_Toc989112"/>
      <w:r>
        <w:rPr>
          <w:rFonts w:ascii="宋体" w:hAnsi="宋体" w:cs="宋体"/>
          <w:b/>
          <w:bCs/>
        </w:rPr>
        <w:t>27、其他流动负债</w:t>
      </w:r>
      <w:bookmarkEnd w:id="246"/>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16,814,163.71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11,089,764.99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未终止确认已背书但尚未到期的应收票据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34,587,185.52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66,063,775.94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51,421,349.23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77,173,540.93</w:t>
            </w:r>
          </w:p>
        </w:tc>
      </w:tr>
    </w:tbl>
    <w:p w:rsidR="00BD1BB9" w:rsidRDefault="00452DEF">
      <w:pPr>
        <w:pStyle w:val="3"/>
        <w:spacing w:line="280" w:lineRule="exact"/>
        <w:jc w:val="left"/>
        <w:rPr>
          <w:rFonts w:ascii="宋体" w:hAnsi="宋体" w:cs="宋体"/>
          <w:b/>
          <w:bCs/>
        </w:rPr>
      </w:pPr>
      <w:bookmarkStart w:id="247" w:name="_Toc989113"/>
      <w:r>
        <w:rPr>
          <w:rFonts w:ascii="宋体" w:hAnsi="宋体" w:cs="宋体"/>
          <w:b/>
          <w:bCs/>
        </w:rPr>
        <w:t>28、长期借款</w:t>
      </w:r>
      <w:bookmarkEnd w:id="247"/>
    </w:p>
    <w:p w:rsidR="00BD1BB9" w:rsidRDefault="00452DEF">
      <w:pPr>
        <w:keepNext/>
        <w:keepLines/>
        <w:spacing w:before="300" w:after="300" w:line="280" w:lineRule="exact"/>
        <w:outlineLvl w:val="3"/>
        <w:rPr>
          <w:rFonts w:ascii="宋体" w:eastAsia="宋体" w:hAnsi="宋体" w:cs="宋体"/>
          <w:b/>
          <w:bCs/>
          <w:sz w:val="18"/>
          <w:szCs w:val="18"/>
        </w:rPr>
      </w:pPr>
      <w:bookmarkStart w:id="248" w:name="_Toc989114"/>
      <w:r>
        <w:rPr>
          <w:rFonts w:ascii="宋体" w:eastAsia="宋体" w:hAnsi="宋体" w:cs="宋体"/>
          <w:b/>
          <w:bCs/>
          <w:sz w:val="18"/>
          <w:szCs w:val="18"/>
        </w:rPr>
        <w:t>（1） 长期借款分类</w:t>
      </w:r>
      <w:bookmarkEnd w:id="248"/>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19,500,000.00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未到期应付利息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19,743.75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19,519,743.75</w:t>
            </w:r>
          </w:p>
        </w:tc>
      </w:tr>
    </w:tbl>
    <w:p w:rsidR="00BD1BB9" w:rsidRDefault="00452DEF">
      <w:pPr>
        <w:pStyle w:val="3"/>
        <w:spacing w:line="280" w:lineRule="exact"/>
        <w:jc w:val="left"/>
        <w:rPr>
          <w:rFonts w:ascii="宋体" w:hAnsi="宋体" w:cs="宋体"/>
          <w:b/>
          <w:bCs/>
        </w:rPr>
      </w:pPr>
      <w:bookmarkStart w:id="249" w:name="_Toc989115"/>
      <w:r>
        <w:rPr>
          <w:rFonts w:ascii="宋体" w:hAnsi="宋体" w:cs="宋体"/>
          <w:b/>
          <w:bCs/>
        </w:rPr>
        <w:t>29、递延收益</w:t>
      </w:r>
      <w:bookmarkEnd w:id="249"/>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3,752,000.00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234,500.00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3,517,500.00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收到生态环境保护专款</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3,752,000.00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234,500.00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3,517,500.00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bl>
    <w:p w:rsidR="004A3B7E" w:rsidRDefault="00452DEF">
      <w:pPr>
        <w:pStyle w:val="a3"/>
        <w:spacing w:before="0" w:beforeAutospacing="0" w:after="0" w:afterAutospacing="0" w:line="400" w:lineRule="atLeast"/>
        <w:ind w:firstLine="360"/>
        <w:divId w:val="656345833"/>
        <w:rPr>
          <w:rFonts w:ascii="Times New Roman" w:hAnsi="Times New Roman" w:cs="Times New Roman"/>
          <w:sz w:val="21"/>
          <w:szCs w:val="21"/>
        </w:rPr>
      </w:pPr>
      <w:bookmarkStart w:id="250" w:name="OLE_LINK109"/>
      <w:r>
        <w:rPr>
          <w:rFonts w:cs="Times New Roman" w:hint="eastAsia"/>
          <w:sz w:val="18"/>
          <w:szCs w:val="18"/>
        </w:rPr>
        <w:t>注：计入递延收益的政府补助详见附注十一、1、涉及政府补助的负债项目。</w:t>
      </w:r>
    </w:p>
    <w:p w:rsidR="00BD1BB9" w:rsidRDefault="00452DEF">
      <w:pPr>
        <w:pStyle w:val="3"/>
        <w:spacing w:line="280" w:lineRule="exact"/>
        <w:jc w:val="left"/>
        <w:rPr>
          <w:rFonts w:ascii="宋体" w:hAnsi="宋体" w:cs="宋体"/>
          <w:b/>
          <w:bCs/>
        </w:rPr>
      </w:pPr>
      <w:bookmarkStart w:id="251" w:name="_Toc989116"/>
      <w:bookmarkEnd w:id="250"/>
      <w:r>
        <w:rPr>
          <w:rFonts w:ascii="宋体" w:hAnsi="宋体" w:cs="宋体"/>
          <w:b/>
          <w:bCs/>
        </w:rPr>
        <w:t>30、股本</w:t>
      </w:r>
      <w:bookmarkEnd w:id="251"/>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BD1BB9">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bl>
    <w:p w:rsidR="00BD1BB9" w:rsidRDefault="00452DEF">
      <w:pPr>
        <w:pStyle w:val="3"/>
        <w:spacing w:line="280" w:lineRule="exact"/>
        <w:jc w:val="left"/>
        <w:rPr>
          <w:rFonts w:ascii="宋体" w:hAnsi="宋体" w:cs="宋体"/>
          <w:b/>
          <w:bCs/>
        </w:rPr>
      </w:pPr>
      <w:bookmarkStart w:id="252" w:name="_Toc989117"/>
      <w:r>
        <w:rPr>
          <w:rFonts w:ascii="宋体" w:hAnsi="宋体" w:cs="宋体"/>
          <w:b/>
          <w:bCs/>
        </w:rPr>
        <w:t>31、资本公积</w:t>
      </w:r>
      <w:bookmarkEnd w:id="25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375,027,661.91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375,027,661.91</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9,843,265.55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9,843,265.55</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384,870,927.46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384,870,927.46</w:t>
            </w:r>
          </w:p>
        </w:tc>
      </w:tr>
    </w:tbl>
    <w:p w:rsidR="00BD1BB9" w:rsidRDefault="00452DEF">
      <w:pPr>
        <w:pStyle w:val="3"/>
        <w:spacing w:line="280" w:lineRule="exact"/>
        <w:jc w:val="left"/>
        <w:rPr>
          <w:rFonts w:ascii="宋体" w:hAnsi="宋体" w:cs="宋体"/>
          <w:b/>
          <w:bCs/>
        </w:rPr>
      </w:pPr>
      <w:bookmarkStart w:id="253" w:name="_Toc989118"/>
      <w:r>
        <w:rPr>
          <w:rFonts w:ascii="宋体" w:hAnsi="宋体" w:cs="宋体"/>
          <w:b/>
          <w:bCs/>
        </w:rPr>
        <w:t>32、其他综合收益</w:t>
      </w:r>
      <w:bookmarkEnd w:id="253"/>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BD1BB9">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一、不能重分类进损益的其他综合收益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二、将重分类进损益的其他综合收益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5,334,249.49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6,364,494.24</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其中：权益法下可转损益的其他综合收益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5,334,249.49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6,364,494.24</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其他综合收益合计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5,334,249.49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1,030,244.75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6,364,494.24</w:t>
            </w:r>
          </w:p>
        </w:tc>
      </w:tr>
    </w:tbl>
    <w:p w:rsidR="00BD1BB9" w:rsidRDefault="00452DEF">
      <w:pPr>
        <w:pStyle w:val="3"/>
        <w:spacing w:line="280" w:lineRule="exact"/>
        <w:jc w:val="left"/>
        <w:rPr>
          <w:rFonts w:ascii="宋体" w:hAnsi="宋体" w:cs="宋体"/>
          <w:b/>
          <w:bCs/>
        </w:rPr>
      </w:pPr>
      <w:bookmarkStart w:id="254" w:name="_Toc989119"/>
      <w:r>
        <w:rPr>
          <w:rFonts w:ascii="宋体" w:hAnsi="宋体" w:cs="宋体"/>
          <w:b/>
          <w:bCs/>
        </w:rPr>
        <w:t>33、盈余公积</w:t>
      </w:r>
      <w:bookmarkEnd w:id="254"/>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450,644,980.60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4,704,075.81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455,349,056.41</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450,644,980.60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4,704,075.81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455,349,056.41</w:t>
            </w:r>
          </w:p>
        </w:tc>
      </w:tr>
    </w:tbl>
    <w:p w:rsidR="00BD1BB9" w:rsidRDefault="00452DEF">
      <w:pPr>
        <w:pStyle w:val="3"/>
        <w:spacing w:line="280" w:lineRule="exact"/>
        <w:jc w:val="left"/>
        <w:rPr>
          <w:rFonts w:ascii="宋体" w:hAnsi="宋体" w:cs="宋体"/>
          <w:b/>
          <w:bCs/>
        </w:rPr>
      </w:pPr>
      <w:bookmarkStart w:id="255" w:name="_Toc989120"/>
      <w:r>
        <w:rPr>
          <w:rFonts w:ascii="宋体" w:hAnsi="宋体" w:cs="宋体"/>
          <w:b/>
          <w:bCs/>
        </w:rPr>
        <w:lastRenderedPageBreak/>
        <w:t>34、未分配利润</w:t>
      </w:r>
      <w:bookmarkEnd w:id="255"/>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3,456,957,420.55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3,390,032,770.69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3,456,957,420.55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3,390,032,770.69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166,011,420.16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79,374,719.64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减：提取法定盈余公积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4,704,075.81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1,587,116.12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3,600,544,507.16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3,450,100,116.47</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调整期初未分配利润明细：</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1)、由于《企业会计准则》及其相关新规定进行追溯调整，影响期初未分配利润0.00元。</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2)、由于会计政策变更，影响期初未分配利润0.00元。</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3)、由于重大会计差错更正，影响期初未分配利润0.00元。</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4)、由于同一控制导致的合并范围变更，影响期初未分配利润0.00元。</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5)、其他调整合计影响期初未分配利润0.00元。</w:t>
      </w:r>
    </w:p>
    <w:p w:rsidR="00BD1BB9" w:rsidRDefault="00452DEF">
      <w:pPr>
        <w:pStyle w:val="3"/>
        <w:spacing w:line="280" w:lineRule="exact"/>
        <w:jc w:val="left"/>
        <w:rPr>
          <w:rFonts w:ascii="宋体" w:hAnsi="宋体" w:cs="宋体"/>
          <w:b/>
          <w:bCs/>
        </w:rPr>
      </w:pPr>
      <w:bookmarkStart w:id="256" w:name="_Toc989121"/>
      <w:r>
        <w:rPr>
          <w:rFonts w:ascii="宋体" w:hAnsi="宋体" w:cs="宋体"/>
          <w:b/>
          <w:bCs/>
        </w:rPr>
        <w:t>35、营业收入和营业成本</w:t>
      </w:r>
      <w:bookmarkEnd w:id="256"/>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1,635,640,806.56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1,514,697,070.64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1,511,270,816.51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1,430,567,511.33</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1,186,991.24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19,612.45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43,470,490.48</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41,860,328.85</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1,636,827,797.80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1,514,716,683.09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1,472,427,840.18</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营业收入、营业成本的分解信息：</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BD1BB9">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D1BB9">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1,636,827,797.80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1,514,716,683.09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1,636,827,797.80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1,514,716,683.09</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1,564,138,369.16</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1,489,056,590.29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1,564,138,369.16</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1,489,056,590.29</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码头仓储服务收入</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71,502,437.40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25,640,480.35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71,502,437.40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25,640,480.35</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材料销售收入及其他</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1,186,991.24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19,612.45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1,186,991.24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19,612.45</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1,636,827,797.80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1,514,716,683.09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1,636,827,797.80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1,514,716,683.09</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国内</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1,398,075,213.06</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1,298,617,859.31</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1,398,075,213.06</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1,298,617,859.31</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国外</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238,752,584.74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216,098,823.78</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238,752,584.74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216,098,823.78</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市场或客户类型</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1,636,827,797.80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1,514,716,683.09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1,636,827,797.80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1,514,716,683.09</w:t>
            </w:r>
          </w:p>
        </w:tc>
      </w:tr>
    </w:tbl>
    <w:p w:rsidR="004A3B7E" w:rsidRDefault="00452DEF">
      <w:pPr>
        <w:pStyle w:val="a3"/>
        <w:spacing w:before="0" w:beforeAutospacing="0" w:after="0" w:afterAutospacing="0" w:line="400" w:lineRule="atLeast"/>
        <w:ind w:firstLine="360"/>
        <w:jc w:val="both"/>
        <w:divId w:val="2005353488"/>
        <w:rPr>
          <w:rFonts w:cs="Times New Roman"/>
          <w:sz w:val="18"/>
          <w:szCs w:val="18"/>
        </w:rPr>
      </w:pPr>
      <w:r>
        <w:rPr>
          <w:rFonts w:cs="Times New Roman" w:hint="eastAsia"/>
          <w:sz w:val="18"/>
          <w:szCs w:val="18"/>
        </w:rPr>
        <w:t>本公司收入主要来源于销售商品和码头仓储服务。销售商品属于在某一时点履行履约义务。公司在满足下列条件时确认收入：购买方在确认接收商品后享有自行销售和使用产品的权利并承担该产品可能发生价格波动或毁损的风险。其中：①国内销售收入确认需满足以下条件：公司已根据合同约定将产品交付给客户且客户已接受该商品，已经收回货款或取得了收款权利的凭证等；②对于国外销售的产品，以产品发运、办理出口清关手续并取得报关单及货运提单时确认销售收入。码头仓储服务属于在某一时段履行履约义务，收入确认的具体政策：公司每月根据合同约定的月度计费标准，经客户或其他仓储代理确认的储存量、分装量及装卸管理服务量汇总后编制结算单，根据结算单金额确认当月收入。</w:t>
      </w:r>
    </w:p>
    <w:p w:rsidR="005760E8" w:rsidRDefault="005760E8">
      <w:pPr>
        <w:pStyle w:val="a3"/>
        <w:spacing w:before="0" w:beforeAutospacing="0" w:after="0" w:afterAutospacing="0" w:line="400" w:lineRule="atLeast"/>
        <w:ind w:firstLine="360"/>
        <w:jc w:val="both"/>
        <w:divId w:val="2005353488"/>
        <w:rPr>
          <w:rFonts w:ascii="Times New Roman" w:hAnsi="Times New Roman" w:cs="Times New Roman"/>
          <w:sz w:val="21"/>
          <w:szCs w:val="21"/>
        </w:rPr>
      </w:pPr>
    </w:p>
    <w:p w:rsidR="00BD1BB9" w:rsidRPr="005760E8" w:rsidRDefault="00452DEF" w:rsidP="005760E8">
      <w:pPr>
        <w:pStyle w:val="a3"/>
        <w:spacing w:before="0" w:beforeAutospacing="0" w:after="0" w:afterAutospacing="0" w:line="400" w:lineRule="atLeast"/>
        <w:ind w:firstLine="360"/>
        <w:jc w:val="both"/>
        <w:rPr>
          <w:rFonts w:cs="Times New Roman"/>
          <w:sz w:val="18"/>
          <w:szCs w:val="18"/>
        </w:rPr>
      </w:pPr>
      <w:r w:rsidRPr="005760E8">
        <w:rPr>
          <w:rFonts w:cs="Times New Roman"/>
          <w:sz w:val="18"/>
          <w:szCs w:val="18"/>
        </w:rPr>
        <w:t>与分摊至剩余履约义务的交易价格相关的信息：</w:t>
      </w:r>
    </w:p>
    <w:p w:rsidR="00BD1BB9" w:rsidRPr="005760E8" w:rsidRDefault="00452DEF" w:rsidP="005760E8">
      <w:pPr>
        <w:pStyle w:val="a3"/>
        <w:spacing w:before="0" w:beforeAutospacing="0" w:after="0" w:afterAutospacing="0" w:line="400" w:lineRule="atLeast"/>
        <w:ind w:firstLine="360"/>
        <w:jc w:val="both"/>
        <w:rPr>
          <w:rFonts w:cs="Times New Roman"/>
          <w:sz w:val="18"/>
          <w:szCs w:val="18"/>
        </w:rPr>
      </w:pPr>
      <w:r w:rsidRPr="005760E8">
        <w:rPr>
          <w:rFonts w:cs="Times New Roman"/>
          <w:sz w:val="18"/>
          <w:szCs w:val="18"/>
        </w:rPr>
        <w:t>本报告期末已签订合同、但尚未履行或尚未履行完毕的履约义务所对应的收入金额为173,856,826.21元，其中，173,856,826.21元预计将于2025年下半年度确认收入。</w:t>
      </w:r>
    </w:p>
    <w:p w:rsidR="004A3B7E" w:rsidRDefault="004A3B7E">
      <w:pPr>
        <w:divId w:val="841286465"/>
        <w:rPr>
          <w:sz w:val="18"/>
          <w:szCs w:val="18"/>
        </w:rPr>
      </w:pPr>
    </w:p>
    <w:p w:rsidR="004A3B7E" w:rsidRDefault="00452DEF">
      <w:pPr>
        <w:pStyle w:val="a3"/>
        <w:spacing w:before="0" w:beforeAutospacing="0" w:after="0" w:afterAutospacing="0" w:line="400" w:lineRule="atLeast"/>
        <w:ind w:firstLine="360"/>
        <w:jc w:val="both"/>
        <w:divId w:val="468474706"/>
        <w:rPr>
          <w:rFonts w:ascii="Times New Roman" w:hAnsi="Times New Roman" w:cs="Times New Roman"/>
          <w:sz w:val="21"/>
          <w:szCs w:val="21"/>
        </w:rPr>
      </w:pPr>
      <w:r>
        <w:rPr>
          <w:rFonts w:cs="Times New Roman" w:hint="eastAsia"/>
          <w:sz w:val="18"/>
          <w:szCs w:val="18"/>
        </w:rPr>
        <w:t>前五名客户的营业收入情况：                                            单位：元</w:t>
      </w:r>
    </w:p>
    <w:tbl>
      <w:tblPr>
        <w:tblW w:w="4914" w:type="pct"/>
        <w:tblCellMar>
          <w:left w:w="0" w:type="dxa"/>
          <w:right w:w="0" w:type="dxa"/>
        </w:tblCellMar>
        <w:tblLook w:val="04A0" w:firstRow="1" w:lastRow="0" w:firstColumn="1" w:lastColumn="0" w:noHBand="0" w:noVBand="1"/>
      </w:tblPr>
      <w:tblGrid>
        <w:gridCol w:w="3959"/>
        <w:gridCol w:w="2589"/>
        <w:gridCol w:w="2978"/>
      </w:tblGrid>
      <w:tr w:rsidR="004A3B7E" w:rsidTr="005760E8">
        <w:trPr>
          <w:divId w:val="468474706"/>
          <w:trHeight w:val="360"/>
          <w:tblHeader/>
        </w:trPr>
        <w:tc>
          <w:tcPr>
            <w:tcW w:w="207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35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本期金额</w:t>
            </w:r>
          </w:p>
        </w:tc>
        <w:tc>
          <w:tcPr>
            <w:tcW w:w="15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上年同期金额</w:t>
            </w:r>
          </w:p>
        </w:tc>
      </w:tr>
      <w:tr w:rsidR="004A3B7E" w:rsidTr="005760E8">
        <w:trPr>
          <w:divId w:val="468474706"/>
          <w:trHeight w:val="360"/>
        </w:trPr>
        <w:tc>
          <w:tcPr>
            <w:tcW w:w="207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销售前五名客户收入总额</w:t>
            </w:r>
          </w:p>
        </w:tc>
        <w:tc>
          <w:tcPr>
            <w:tcW w:w="1359" w:type="pct"/>
            <w:tcBorders>
              <w:top w:val="nil"/>
              <w:left w:val="nil"/>
              <w:bottom w:val="single" w:sz="8" w:space="0" w:color="auto"/>
              <w:right w:val="single" w:sz="8" w:space="0" w:color="auto"/>
            </w:tcBorders>
            <w:noWrap/>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467,755,525.45</w:t>
            </w:r>
          </w:p>
        </w:tc>
        <w:tc>
          <w:tcPr>
            <w:tcW w:w="1563" w:type="pct"/>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506,026,372.22</w:t>
            </w:r>
          </w:p>
        </w:tc>
      </w:tr>
      <w:tr w:rsidR="004A3B7E" w:rsidTr="005760E8">
        <w:trPr>
          <w:divId w:val="468474706"/>
          <w:trHeight w:val="360"/>
        </w:trPr>
        <w:tc>
          <w:tcPr>
            <w:tcW w:w="207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占营业收入总额的比例</w:t>
            </w:r>
          </w:p>
        </w:tc>
        <w:tc>
          <w:tcPr>
            <w:tcW w:w="1359" w:type="pct"/>
            <w:tcBorders>
              <w:top w:val="nil"/>
              <w:left w:val="nil"/>
              <w:bottom w:val="single" w:sz="8" w:space="0" w:color="auto"/>
              <w:right w:val="single" w:sz="8" w:space="0" w:color="auto"/>
            </w:tcBorders>
            <w:noWrap/>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28.58%</w:t>
            </w:r>
          </w:p>
        </w:tc>
        <w:tc>
          <w:tcPr>
            <w:tcW w:w="1563" w:type="pct"/>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32.55%</w:t>
            </w:r>
          </w:p>
        </w:tc>
      </w:tr>
    </w:tbl>
    <w:p w:rsidR="00BD1BB9" w:rsidRDefault="00452DEF">
      <w:pPr>
        <w:pStyle w:val="3"/>
        <w:spacing w:line="280" w:lineRule="exact"/>
        <w:jc w:val="left"/>
        <w:rPr>
          <w:rFonts w:ascii="宋体" w:hAnsi="宋体" w:cs="宋体"/>
          <w:b/>
          <w:bCs/>
        </w:rPr>
      </w:pPr>
      <w:bookmarkStart w:id="257" w:name="_Toc989122"/>
      <w:r>
        <w:rPr>
          <w:rFonts w:ascii="宋体" w:hAnsi="宋体" w:cs="宋体"/>
          <w:b/>
          <w:bCs/>
        </w:rPr>
        <w:t>36、税金及附加</w:t>
      </w:r>
      <w:bookmarkEnd w:id="257"/>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965882" w:rsidRDefault="00965882">
      <w:pPr>
        <w:spacing w:before="40" w:after="40" w:line="240" w:lineRule="exact"/>
        <w:jc w:val="right"/>
        <w:rPr>
          <w:rFonts w:ascii="宋体" w:eastAsia="宋体" w:hAnsi="宋体" w:cs="宋体"/>
          <w:sz w:val="18"/>
          <w:szCs w:val="18"/>
        </w:rPr>
      </w:pPr>
    </w:p>
    <w:p w:rsidR="00965882" w:rsidRDefault="00965882">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1,572,414.58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428,954.15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1,505,532.89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340,979.76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1,284,510.46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1,268,071.52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466,751.60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470,641.60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5,880.00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6,540.00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1,218,411.94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1,448,955.92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环境保护税</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16,605.11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15,765.59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6,070,106.58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3,979,908.54</w:t>
            </w:r>
          </w:p>
        </w:tc>
      </w:tr>
    </w:tbl>
    <w:p w:rsidR="004A3B7E" w:rsidRDefault="00452DEF">
      <w:pPr>
        <w:pStyle w:val="a3"/>
        <w:spacing w:before="0" w:beforeAutospacing="0" w:after="0" w:afterAutospacing="0" w:line="400" w:lineRule="atLeast"/>
        <w:ind w:firstLine="360"/>
        <w:jc w:val="both"/>
        <w:divId w:val="2123725388"/>
        <w:rPr>
          <w:rFonts w:ascii="Times New Roman" w:hAnsi="Times New Roman" w:cs="Times New Roman"/>
          <w:sz w:val="21"/>
          <w:szCs w:val="21"/>
        </w:rPr>
      </w:pPr>
      <w:r>
        <w:rPr>
          <w:rFonts w:cs="Times New Roman" w:hint="eastAsia"/>
          <w:sz w:val="18"/>
          <w:szCs w:val="18"/>
        </w:rPr>
        <w:t>注：各项税金及附加的计缴标准详见附注六、税项。</w:t>
      </w:r>
    </w:p>
    <w:p w:rsidR="00BD1BB9" w:rsidRDefault="00452DEF">
      <w:pPr>
        <w:pStyle w:val="3"/>
        <w:spacing w:line="280" w:lineRule="exact"/>
        <w:jc w:val="left"/>
        <w:rPr>
          <w:rFonts w:ascii="宋体" w:hAnsi="宋体" w:cs="宋体"/>
          <w:b/>
          <w:bCs/>
        </w:rPr>
      </w:pPr>
      <w:bookmarkStart w:id="258" w:name="_Toc989123"/>
      <w:r>
        <w:rPr>
          <w:rFonts w:ascii="宋体" w:hAnsi="宋体" w:cs="宋体"/>
          <w:b/>
          <w:bCs/>
        </w:rPr>
        <w:t>37、管理费用</w:t>
      </w:r>
      <w:bookmarkEnd w:id="258"/>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14,773,208.05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10,755,485.25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1,277,282.29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1,282,647.52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3,031,165.36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3,054,385.17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5,282,755.89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3,769,184.21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1,158,577.49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949,747.55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咨询服务费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746,830.92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1,684,748.10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42,544.36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420,225.65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车辆费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243,516.51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363,098.93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财产保险费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1,002,957.86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995,156.12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劳动保护费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112,723.32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58,773.59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诉讼费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141,509.43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272,557.44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2,903,132.22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2,740,378.64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30,716,203.70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26,346,388.17</w:t>
            </w:r>
          </w:p>
        </w:tc>
      </w:tr>
    </w:tbl>
    <w:p w:rsidR="00BD1BB9" w:rsidRDefault="00452DEF">
      <w:pPr>
        <w:pStyle w:val="3"/>
        <w:spacing w:line="280" w:lineRule="exact"/>
        <w:jc w:val="left"/>
        <w:rPr>
          <w:rFonts w:ascii="宋体" w:hAnsi="宋体" w:cs="宋体"/>
          <w:b/>
          <w:bCs/>
        </w:rPr>
      </w:pPr>
      <w:bookmarkStart w:id="259" w:name="_Toc989124"/>
      <w:r>
        <w:rPr>
          <w:rFonts w:ascii="宋体" w:hAnsi="宋体" w:cs="宋体"/>
          <w:b/>
          <w:bCs/>
        </w:rPr>
        <w:t>38、销售费用</w:t>
      </w:r>
      <w:bookmarkEnd w:id="259"/>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624,000.00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510,000.00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销售业务费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2,089,170.36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2,939,250.56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246,618.26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380,304.74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广告费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47,839.21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335,036.00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21,027.12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24,109.46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3,028,654.95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4,188,700.76</w:t>
            </w:r>
          </w:p>
        </w:tc>
      </w:tr>
    </w:tbl>
    <w:p w:rsidR="00BD1BB9" w:rsidRDefault="00452DEF">
      <w:pPr>
        <w:pStyle w:val="3"/>
        <w:spacing w:line="280" w:lineRule="exact"/>
        <w:jc w:val="left"/>
        <w:rPr>
          <w:rFonts w:ascii="宋体" w:hAnsi="宋体" w:cs="宋体"/>
          <w:b/>
          <w:bCs/>
        </w:rPr>
      </w:pPr>
      <w:bookmarkStart w:id="260" w:name="_Toc989125"/>
      <w:r>
        <w:rPr>
          <w:rFonts w:ascii="宋体" w:hAnsi="宋体" w:cs="宋体"/>
          <w:b/>
          <w:bCs/>
        </w:rPr>
        <w:t>39、研发费用</w:t>
      </w:r>
      <w:bookmarkEnd w:id="260"/>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人员费用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3,052,312.75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3,164,901.96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材料、动力等直接投入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1,248,887.52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1,054,112.02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长期资产摊销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239,004.48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261,522.04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108,526.39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62,405.94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4,648,731.14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4,542,941.96</w:t>
            </w:r>
          </w:p>
        </w:tc>
      </w:tr>
    </w:tbl>
    <w:p w:rsidR="00BD1BB9" w:rsidRDefault="00452DEF">
      <w:pPr>
        <w:pStyle w:val="3"/>
        <w:spacing w:line="280" w:lineRule="exact"/>
        <w:jc w:val="left"/>
        <w:rPr>
          <w:rFonts w:ascii="宋体" w:hAnsi="宋体" w:cs="宋体"/>
          <w:b/>
          <w:bCs/>
        </w:rPr>
      </w:pPr>
      <w:bookmarkStart w:id="261" w:name="_Toc989126"/>
      <w:r>
        <w:rPr>
          <w:rFonts w:ascii="宋体" w:hAnsi="宋体" w:cs="宋体"/>
          <w:b/>
          <w:bCs/>
        </w:rPr>
        <w:lastRenderedPageBreak/>
        <w:t>40、财务费用</w:t>
      </w:r>
      <w:bookmarkEnd w:id="261"/>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13,740,013.44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16,724,463.34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其中：银行等金融机构借款利息</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13,740,013.44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16,724,463.34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1,292,084.39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3,060,113.68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-1,032,753.56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-4,750,463.77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金融机构手续费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1,698,030.53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2,763,406.60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13,113,206.02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11,677,292.49</w:t>
            </w:r>
          </w:p>
        </w:tc>
      </w:tr>
    </w:tbl>
    <w:p w:rsidR="00BD1BB9" w:rsidRDefault="00452DEF">
      <w:pPr>
        <w:pStyle w:val="3"/>
        <w:spacing w:line="280" w:lineRule="exact"/>
        <w:jc w:val="left"/>
        <w:rPr>
          <w:rFonts w:ascii="宋体" w:hAnsi="宋体" w:cs="宋体"/>
          <w:b/>
          <w:bCs/>
        </w:rPr>
      </w:pPr>
      <w:bookmarkStart w:id="262" w:name="_Toc989127"/>
      <w:r>
        <w:rPr>
          <w:rFonts w:ascii="宋体" w:hAnsi="宋体" w:cs="宋体"/>
          <w:b/>
          <w:bCs/>
        </w:rPr>
        <w:t>41、其他收益</w:t>
      </w:r>
      <w:bookmarkEnd w:id="26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242,000.00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394,500.00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代扣个人所得税手续费返还</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87,564.18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95,471.06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合  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329,564.18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489,971.06</w:t>
            </w:r>
          </w:p>
        </w:tc>
      </w:tr>
    </w:tbl>
    <w:p w:rsidR="005760E8" w:rsidRDefault="005760E8" w:rsidP="005760E8">
      <w:pPr>
        <w:pStyle w:val="a3"/>
        <w:spacing w:before="0" w:beforeAutospacing="0" w:after="0" w:afterAutospacing="0" w:line="400" w:lineRule="atLeast"/>
        <w:ind w:firstLine="360"/>
        <w:rPr>
          <w:rFonts w:ascii="Times New Roman" w:hAnsi="Times New Roman" w:cs="Times New Roman"/>
          <w:sz w:val="21"/>
          <w:szCs w:val="21"/>
        </w:rPr>
      </w:pPr>
      <w:bookmarkStart w:id="263" w:name="_Toc989128"/>
      <w:r>
        <w:rPr>
          <w:rFonts w:cs="Times New Roman" w:hint="eastAsia"/>
          <w:sz w:val="18"/>
          <w:szCs w:val="18"/>
        </w:rPr>
        <w:t>注：计入</w:t>
      </w:r>
      <w:r w:rsidR="00E900F8">
        <w:rPr>
          <w:rFonts w:cs="Times New Roman" w:hint="eastAsia"/>
          <w:sz w:val="18"/>
          <w:szCs w:val="18"/>
        </w:rPr>
        <w:t>其他</w:t>
      </w:r>
      <w:r w:rsidRPr="00B00E8F">
        <w:rPr>
          <w:rFonts w:cs="Times New Roman" w:hint="eastAsia"/>
          <w:sz w:val="18"/>
          <w:szCs w:val="18"/>
        </w:rPr>
        <w:t>收益</w:t>
      </w:r>
      <w:r>
        <w:rPr>
          <w:rFonts w:cs="Times New Roman" w:hint="eastAsia"/>
          <w:sz w:val="18"/>
          <w:szCs w:val="18"/>
        </w:rPr>
        <w:t>的政府补助详见附注十一、2、计入当期损益的政府补助。</w:t>
      </w:r>
    </w:p>
    <w:p w:rsidR="00BD1BB9" w:rsidRDefault="00452DEF">
      <w:pPr>
        <w:pStyle w:val="3"/>
        <w:spacing w:line="280" w:lineRule="exact"/>
        <w:jc w:val="left"/>
        <w:rPr>
          <w:rFonts w:ascii="宋体" w:hAnsi="宋体" w:cs="宋体"/>
          <w:b/>
          <w:bCs/>
        </w:rPr>
      </w:pPr>
      <w:r>
        <w:rPr>
          <w:rFonts w:ascii="宋体" w:hAnsi="宋体" w:cs="宋体"/>
          <w:b/>
          <w:bCs/>
        </w:rPr>
        <w:t>42、公允价值变动收益</w:t>
      </w:r>
      <w:bookmarkEnd w:id="263"/>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3,007,015.39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-6,155,311.91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3,007,015.39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-6,155,311.91</w:t>
            </w:r>
          </w:p>
        </w:tc>
      </w:tr>
    </w:tbl>
    <w:p w:rsidR="00BD1BB9" w:rsidRDefault="00452DEF">
      <w:pPr>
        <w:pStyle w:val="3"/>
        <w:spacing w:line="280" w:lineRule="exact"/>
        <w:jc w:val="left"/>
        <w:rPr>
          <w:rFonts w:ascii="宋体" w:hAnsi="宋体" w:cs="宋体"/>
          <w:b/>
          <w:bCs/>
        </w:rPr>
      </w:pPr>
      <w:bookmarkStart w:id="264" w:name="_Toc989129"/>
      <w:r>
        <w:rPr>
          <w:rFonts w:ascii="宋体" w:hAnsi="宋体" w:cs="宋体"/>
          <w:b/>
          <w:bCs/>
        </w:rPr>
        <w:t>43、投资收益</w:t>
      </w:r>
      <w:bookmarkEnd w:id="264"/>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121,037,182.80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37,145,443.93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6,828,573.60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-1,310,861.56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22,473,272.15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应收款项融资贴现损失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-486,459.44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119,239,861.80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66,447,289.68</w:t>
            </w:r>
          </w:p>
        </w:tc>
      </w:tr>
    </w:tbl>
    <w:p w:rsidR="00BD1BB9" w:rsidRDefault="00452DEF">
      <w:pPr>
        <w:pStyle w:val="3"/>
        <w:spacing w:line="280" w:lineRule="exact"/>
        <w:jc w:val="left"/>
        <w:rPr>
          <w:rFonts w:ascii="宋体" w:hAnsi="宋体" w:cs="宋体"/>
          <w:b/>
          <w:bCs/>
        </w:rPr>
      </w:pPr>
      <w:bookmarkStart w:id="265" w:name="_Toc989130"/>
      <w:r>
        <w:rPr>
          <w:rFonts w:ascii="宋体" w:hAnsi="宋体" w:cs="宋体"/>
          <w:b/>
          <w:bCs/>
        </w:rPr>
        <w:t>44、信用减值损失</w:t>
      </w:r>
      <w:bookmarkEnd w:id="265"/>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-2,575,111.58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-3,035,326.54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-9,293.31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-345,072.73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-2,584,404.89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-3,380,399.27</w:t>
            </w:r>
          </w:p>
        </w:tc>
      </w:tr>
    </w:tbl>
    <w:p w:rsidR="00BD1BB9" w:rsidRDefault="00452DEF">
      <w:pPr>
        <w:pStyle w:val="3"/>
        <w:spacing w:line="280" w:lineRule="exact"/>
        <w:jc w:val="left"/>
        <w:rPr>
          <w:rFonts w:ascii="宋体" w:hAnsi="宋体" w:cs="宋体"/>
          <w:b/>
          <w:bCs/>
        </w:rPr>
      </w:pPr>
      <w:bookmarkStart w:id="266" w:name="_Toc989131"/>
      <w:r>
        <w:rPr>
          <w:rFonts w:ascii="宋体" w:hAnsi="宋体" w:cs="宋体"/>
          <w:b/>
          <w:bCs/>
        </w:rPr>
        <w:lastRenderedPageBreak/>
        <w:t>45、资产减值损失</w:t>
      </w:r>
      <w:bookmarkEnd w:id="266"/>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-3,089,331.90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-2,974,212.01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二、长期股权投资减值损失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三、投资性房地产减值损失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四、固定资产减值损失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五、工程物资减值损失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六、在建工程减值损失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七、生产性生物资产减值损失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八、油气资产减值损失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九、无形资产减值损失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十、商誉减值损失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十一、合同资产减值损失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十二、其他</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-3,089,331.90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-2,974,212.01</w:t>
            </w:r>
          </w:p>
        </w:tc>
      </w:tr>
    </w:tbl>
    <w:p w:rsidR="00BD1BB9" w:rsidRDefault="00452DEF">
      <w:pPr>
        <w:pStyle w:val="3"/>
        <w:spacing w:line="280" w:lineRule="exact"/>
        <w:jc w:val="left"/>
        <w:rPr>
          <w:rFonts w:ascii="宋体" w:hAnsi="宋体" w:cs="宋体"/>
          <w:b/>
          <w:bCs/>
        </w:rPr>
      </w:pPr>
      <w:bookmarkStart w:id="267" w:name="_Toc989132"/>
      <w:r>
        <w:rPr>
          <w:rFonts w:ascii="宋体" w:hAnsi="宋体" w:cs="宋体"/>
          <w:b/>
          <w:bCs/>
        </w:rPr>
        <w:t>46、营业外收入</w:t>
      </w:r>
      <w:bookmarkEnd w:id="267"/>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非流动资产毁损报废收益</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50,861.96</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50,861.96</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违约赔偿收入</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70,104.00</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30,200.00</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70,104.00</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10,942.34</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70,104.00</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92,004.30</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bl>
    <w:p w:rsidR="00BD1BB9" w:rsidRDefault="00452DEF">
      <w:pPr>
        <w:pStyle w:val="3"/>
        <w:spacing w:line="280" w:lineRule="exact"/>
        <w:jc w:val="left"/>
        <w:rPr>
          <w:rFonts w:ascii="宋体" w:hAnsi="宋体" w:cs="宋体"/>
          <w:b/>
          <w:bCs/>
        </w:rPr>
      </w:pPr>
      <w:bookmarkStart w:id="268" w:name="_Toc989133"/>
      <w:r>
        <w:rPr>
          <w:rFonts w:ascii="宋体" w:hAnsi="宋体" w:cs="宋体"/>
          <w:b/>
          <w:bCs/>
        </w:rPr>
        <w:t>47、营业外支出</w:t>
      </w:r>
      <w:bookmarkEnd w:id="268"/>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非流动资产毁损报废损失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103,383.53</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103,383.53</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非常损失</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75,001.84</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62,847.85</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75,001.84</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2,900.00</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75,001.84</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169,131.38</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75,001.84</w:t>
            </w:r>
          </w:p>
        </w:tc>
      </w:tr>
    </w:tbl>
    <w:p w:rsidR="00BD1BB9" w:rsidRDefault="00452DEF">
      <w:pPr>
        <w:pStyle w:val="3"/>
        <w:spacing w:line="280" w:lineRule="exact"/>
        <w:jc w:val="left"/>
        <w:rPr>
          <w:rFonts w:ascii="宋体" w:hAnsi="宋体" w:cs="宋体"/>
          <w:b/>
          <w:bCs/>
        </w:rPr>
      </w:pPr>
      <w:bookmarkStart w:id="269" w:name="_Toc989134"/>
      <w:r>
        <w:rPr>
          <w:rFonts w:ascii="宋体" w:hAnsi="宋体" w:cs="宋体"/>
          <w:b/>
          <w:bCs/>
        </w:rPr>
        <w:t>48、所得税费用</w:t>
      </w:r>
      <w:bookmarkEnd w:id="269"/>
    </w:p>
    <w:p w:rsidR="00BD1BB9" w:rsidRDefault="00452DEF">
      <w:pPr>
        <w:keepNext/>
        <w:keepLines/>
        <w:spacing w:before="300" w:after="300" w:line="280" w:lineRule="exact"/>
        <w:outlineLvl w:val="3"/>
        <w:rPr>
          <w:rFonts w:ascii="宋体" w:eastAsia="宋体" w:hAnsi="宋体" w:cs="宋体"/>
          <w:b/>
          <w:bCs/>
          <w:szCs w:val="21"/>
        </w:rPr>
      </w:pPr>
      <w:bookmarkStart w:id="270" w:name="_Toc989135"/>
      <w:r>
        <w:rPr>
          <w:rFonts w:ascii="宋体" w:eastAsia="宋体" w:hAnsi="宋体" w:cs="宋体"/>
          <w:b/>
          <w:bCs/>
          <w:szCs w:val="21"/>
        </w:rPr>
        <w:t>（1） 所得税费用表</w:t>
      </w:r>
      <w:bookmarkEnd w:id="270"/>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965882" w:rsidRDefault="00965882">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16,241,526.85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16,389,602.94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-820,927.95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-9,835,877.22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15,420,598.90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6,553,725.72</w:t>
            </w:r>
          </w:p>
        </w:tc>
      </w:tr>
    </w:tbl>
    <w:p w:rsidR="00BD1BB9" w:rsidRDefault="00452DEF">
      <w:pPr>
        <w:keepNext/>
        <w:keepLines/>
        <w:spacing w:before="300" w:after="300" w:line="280" w:lineRule="exact"/>
        <w:outlineLvl w:val="3"/>
        <w:rPr>
          <w:rFonts w:ascii="宋体" w:eastAsia="宋体" w:hAnsi="宋体" w:cs="宋体"/>
          <w:b/>
          <w:bCs/>
          <w:szCs w:val="21"/>
        </w:rPr>
      </w:pPr>
      <w:bookmarkStart w:id="271" w:name="_Toc989136"/>
      <w:r>
        <w:rPr>
          <w:rFonts w:ascii="宋体" w:eastAsia="宋体" w:hAnsi="宋体" w:cs="宋体"/>
          <w:b/>
          <w:bCs/>
          <w:szCs w:val="21"/>
        </w:rPr>
        <w:t>（2） 会计利润与所得税费用调整过程</w:t>
      </w:r>
      <w:bookmarkEnd w:id="271"/>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181,432,019.06</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45,358,004.76</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-3,584,036.94</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3,563,585.70</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554,637.12</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本期未确认递延所得税资产的可抵扣暂时性差异或可抵扣亏损的影响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99,499.64</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研发加计扣除</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-335,697.96</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权益法核算的合营企业和联营企业损益</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-30,235,393.42</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15,420,598.90</w:t>
            </w:r>
          </w:p>
        </w:tc>
      </w:tr>
    </w:tbl>
    <w:p w:rsidR="00BD1BB9" w:rsidRDefault="00452DEF">
      <w:pPr>
        <w:pStyle w:val="3"/>
        <w:spacing w:line="280" w:lineRule="exact"/>
        <w:jc w:val="left"/>
        <w:rPr>
          <w:rFonts w:ascii="宋体" w:hAnsi="宋体" w:cs="宋体"/>
          <w:b/>
          <w:bCs/>
        </w:rPr>
      </w:pPr>
      <w:bookmarkStart w:id="272" w:name="_Toc989137"/>
      <w:r>
        <w:rPr>
          <w:rFonts w:ascii="宋体" w:hAnsi="宋体" w:cs="宋体"/>
          <w:b/>
          <w:bCs/>
        </w:rPr>
        <w:t>49、现金流量表项目</w:t>
      </w:r>
      <w:bookmarkEnd w:id="272"/>
    </w:p>
    <w:p w:rsidR="00BD1BB9" w:rsidRDefault="00452DEF">
      <w:pPr>
        <w:keepNext/>
        <w:keepLines/>
        <w:spacing w:before="300" w:after="300" w:line="280" w:lineRule="exact"/>
        <w:outlineLvl w:val="3"/>
        <w:rPr>
          <w:rFonts w:ascii="宋体" w:eastAsia="宋体" w:hAnsi="宋体" w:cs="宋体"/>
          <w:b/>
          <w:bCs/>
          <w:szCs w:val="21"/>
        </w:rPr>
      </w:pPr>
      <w:bookmarkStart w:id="273" w:name="_Toc989138"/>
      <w:r>
        <w:rPr>
          <w:rFonts w:ascii="宋体" w:eastAsia="宋体" w:hAnsi="宋体" w:cs="宋体"/>
          <w:b/>
          <w:bCs/>
          <w:szCs w:val="21"/>
        </w:rPr>
        <w:t>（1） 与经营活动有关的现金</w:t>
      </w:r>
      <w:bookmarkEnd w:id="273"/>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收到的其他与经营活动有关的现金</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收到的利息收入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1,292,084.39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3,060,113.68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收到的政府补助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95,064.18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255,471.06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2,675,030.67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2,044,407.40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4,062,179.24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5,359,992.14</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支付的其他与经营活动有关的现金</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直接支付的期间费用</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17,168,774.33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19,056,400.22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支付的银行手续费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1,698,030.53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2,763,406.60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支付的往来款等</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5,246,466.27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21,056.01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65,747.85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18,932,860.87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27,132,020.94</w:t>
            </w:r>
          </w:p>
        </w:tc>
      </w:tr>
    </w:tbl>
    <w:p w:rsidR="00BD1BB9" w:rsidRDefault="00452DEF">
      <w:pPr>
        <w:keepNext/>
        <w:keepLines/>
        <w:spacing w:before="300" w:after="300" w:line="280" w:lineRule="exact"/>
        <w:outlineLvl w:val="3"/>
        <w:rPr>
          <w:rFonts w:ascii="宋体" w:eastAsia="宋体" w:hAnsi="宋体" w:cs="宋体"/>
          <w:b/>
          <w:bCs/>
          <w:szCs w:val="21"/>
        </w:rPr>
      </w:pPr>
      <w:bookmarkStart w:id="274" w:name="_Toc989139"/>
      <w:r>
        <w:rPr>
          <w:rFonts w:ascii="宋体" w:eastAsia="宋体" w:hAnsi="宋体" w:cs="宋体"/>
          <w:b/>
          <w:bCs/>
          <w:szCs w:val="21"/>
        </w:rPr>
        <w:t>（2） 与投资活动有关的现金</w:t>
      </w:r>
      <w:bookmarkEnd w:id="274"/>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收到的重要的与投资活动有关的现金</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交易性金融资产投资收益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10,123.77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15,959,062.44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长期股权投资投资收益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720,000.00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62,063,036.43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lastRenderedPageBreak/>
              <w:t>交易性金融资产收回投资款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34,853,241.35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114,003,309.05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35,583,365.12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192,025,407.92</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支付的重要的与投资活动有关的现金</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12,023,549.16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59,309,621.61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购买交易性金融资产支付的现金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36,189,226.48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324,669,368.90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48,212,775.64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383,978,990.51</w:t>
            </w:r>
          </w:p>
        </w:tc>
      </w:tr>
    </w:tbl>
    <w:p w:rsidR="00BD1BB9" w:rsidRDefault="00452DEF">
      <w:pPr>
        <w:keepNext/>
        <w:keepLines/>
        <w:spacing w:before="300" w:after="300" w:line="280" w:lineRule="exact"/>
        <w:outlineLvl w:val="3"/>
        <w:rPr>
          <w:rFonts w:ascii="宋体" w:eastAsia="宋体" w:hAnsi="宋体" w:cs="宋体"/>
          <w:b/>
          <w:bCs/>
          <w:szCs w:val="21"/>
        </w:rPr>
      </w:pPr>
      <w:bookmarkStart w:id="275" w:name="_Toc989140"/>
      <w:r>
        <w:rPr>
          <w:rFonts w:ascii="宋体" w:eastAsia="宋体" w:hAnsi="宋体" w:cs="宋体"/>
          <w:b/>
          <w:bCs/>
          <w:szCs w:val="21"/>
        </w:rPr>
        <w:t>（3） 与筹资活动有关的现金</w:t>
      </w:r>
      <w:bookmarkEnd w:id="275"/>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支付的其他与筹资活动有关的现金</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借款保证金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179,977,459.62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199,309.84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179,977,459.62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199,309.84</w:t>
            </w:r>
          </w:p>
        </w:tc>
      </w:tr>
    </w:tbl>
    <w:p w:rsidR="00931877" w:rsidRPr="00931877" w:rsidRDefault="00931877" w:rsidP="00931877">
      <w:pPr>
        <w:spacing w:before="100" w:after="100" w:line="240" w:lineRule="exact"/>
        <w:rPr>
          <w:rFonts w:ascii="宋体" w:eastAsia="宋体" w:hAnsi="宋体" w:cs="宋体"/>
          <w:sz w:val="18"/>
          <w:szCs w:val="18"/>
        </w:rPr>
      </w:pPr>
      <w:r w:rsidRPr="00931877">
        <w:rPr>
          <w:rFonts w:ascii="宋体" w:eastAsia="宋体" w:hAnsi="宋体" w:cs="宋体" w:hint="eastAsia"/>
          <w:sz w:val="18"/>
          <w:szCs w:val="18"/>
        </w:rPr>
        <w:t>筹资活动产生的各项负债变动情况</w:t>
      </w:r>
    </w:p>
    <w:p w:rsidR="00931877" w:rsidRPr="00931877" w:rsidRDefault="00931877" w:rsidP="00931877">
      <w:pPr>
        <w:spacing w:before="40" w:after="40" w:line="240" w:lineRule="exact"/>
        <w:rPr>
          <w:rFonts w:ascii="宋体" w:eastAsia="宋体" w:hAnsi="宋体" w:cs="宋体"/>
          <w:sz w:val="18"/>
          <w:szCs w:val="18"/>
        </w:rPr>
      </w:pPr>
      <w:r w:rsidRPr="00931877">
        <w:rPr>
          <w:rFonts w:ascii="宋体" w:eastAsia="宋体" w:hAnsi="宋体" w:cs="宋体"/>
          <w:sz w:val="18"/>
          <w:szCs w:val="18"/>
        </w:rPr>
        <w:sym w:font="Wingdings 2" w:char="F052"/>
      </w:r>
      <w:r w:rsidRPr="00931877">
        <w:rPr>
          <w:rFonts w:ascii="宋体" w:eastAsia="宋体" w:hAnsi="宋体" w:cs="宋体" w:hint="eastAsia"/>
          <w:sz w:val="18"/>
          <w:szCs w:val="18"/>
        </w:rPr>
        <w:t>适用 □不适用</w:t>
      </w:r>
    </w:p>
    <w:p w:rsidR="00931877" w:rsidRPr="00931877" w:rsidRDefault="00931877" w:rsidP="00931877">
      <w:pPr>
        <w:spacing w:before="120" w:after="120" w:line="240" w:lineRule="exact"/>
        <w:jc w:val="right"/>
        <w:rPr>
          <w:rFonts w:ascii="宋体" w:eastAsia="宋体" w:hAnsi="宋体" w:cs="宋体"/>
          <w:sz w:val="18"/>
          <w:szCs w:val="18"/>
        </w:rPr>
      </w:pPr>
      <w:r w:rsidRPr="00931877">
        <w:rPr>
          <w:rFonts w:ascii="宋体" w:eastAsia="宋体" w:hAnsi="宋体" w:cs="宋体" w:hint="eastAsia"/>
          <w:sz w:val="18"/>
          <w:szCs w:val="18"/>
        </w:rPr>
        <w:t>单位：元</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76"/>
        <w:gridCol w:w="1376"/>
        <w:gridCol w:w="1376"/>
        <w:gridCol w:w="1377"/>
        <w:gridCol w:w="1377"/>
        <w:gridCol w:w="1377"/>
        <w:gridCol w:w="1377"/>
      </w:tblGrid>
      <w:tr w:rsidR="00931877" w:rsidRPr="00931877" w:rsidTr="009318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931877" w:rsidRPr="00931877" w:rsidRDefault="00931877" w:rsidP="00931877">
            <w:pPr>
              <w:spacing w:before="40" w:after="40" w:line="240" w:lineRule="exact"/>
              <w:jc w:val="center"/>
              <w:rPr>
                <w:rFonts w:ascii="宋体" w:eastAsia="宋体" w:hAnsi="宋体" w:cs="宋体"/>
                <w:sz w:val="18"/>
                <w:szCs w:val="18"/>
              </w:rPr>
            </w:pPr>
            <w:r w:rsidRPr="00931877">
              <w:rPr>
                <w:rFonts w:ascii="宋体" w:eastAsia="宋体" w:hAnsi="宋体" w:cs="宋体" w:hint="eastAsia"/>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931877" w:rsidRPr="00931877" w:rsidRDefault="00931877" w:rsidP="00931877">
            <w:pPr>
              <w:spacing w:before="40" w:after="40" w:line="240" w:lineRule="exact"/>
              <w:jc w:val="center"/>
              <w:rPr>
                <w:rFonts w:ascii="宋体" w:eastAsia="宋体" w:hAnsi="宋体" w:cs="宋体"/>
                <w:sz w:val="18"/>
                <w:szCs w:val="18"/>
              </w:rPr>
            </w:pPr>
            <w:r w:rsidRPr="00931877">
              <w:rPr>
                <w:rFonts w:ascii="宋体" w:eastAsia="宋体" w:hAnsi="宋体" w:cs="宋体" w:hint="eastAsia"/>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931877" w:rsidRPr="00931877" w:rsidRDefault="00931877" w:rsidP="00931877">
            <w:pPr>
              <w:spacing w:before="40" w:after="40" w:line="240" w:lineRule="exact"/>
              <w:jc w:val="center"/>
              <w:rPr>
                <w:rFonts w:ascii="宋体" w:eastAsia="宋体" w:hAnsi="宋体" w:cs="宋体"/>
                <w:sz w:val="18"/>
                <w:szCs w:val="18"/>
              </w:rPr>
            </w:pPr>
            <w:r w:rsidRPr="00931877">
              <w:rPr>
                <w:rFonts w:ascii="宋体" w:eastAsia="宋体" w:hAnsi="宋体" w:cs="宋体" w:hint="eastAsia"/>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931877" w:rsidRPr="00931877" w:rsidRDefault="00931877" w:rsidP="00931877">
            <w:pPr>
              <w:spacing w:before="40" w:after="40" w:line="240" w:lineRule="exact"/>
              <w:jc w:val="center"/>
              <w:rPr>
                <w:rFonts w:ascii="宋体" w:eastAsia="宋体" w:hAnsi="宋体" w:cs="宋体"/>
                <w:sz w:val="18"/>
                <w:szCs w:val="18"/>
              </w:rPr>
            </w:pPr>
            <w:r w:rsidRPr="00931877">
              <w:rPr>
                <w:rFonts w:ascii="宋体" w:eastAsia="宋体" w:hAnsi="宋体" w:cs="宋体" w:hint="eastAsia"/>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931877" w:rsidRPr="00931877" w:rsidRDefault="00931877" w:rsidP="00931877">
            <w:pPr>
              <w:spacing w:before="40" w:after="40" w:line="240" w:lineRule="exact"/>
              <w:jc w:val="center"/>
              <w:rPr>
                <w:rFonts w:ascii="宋体" w:eastAsia="宋体" w:hAnsi="宋体" w:cs="宋体"/>
                <w:sz w:val="18"/>
                <w:szCs w:val="18"/>
              </w:rPr>
            </w:pPr>
            <w:r w:rsidRPr="00931877">
              <w:rPr>
                <w:rFonts w:ascii="宋体" w:eastAsia="宋体" w:hAnsi="宋体" w:cs="宋体" w:hint="eastAsia"/>
                <w:sz w:val="18"/>
                <w:szCs w:val="18"/>
              </w:rPr>
              <w:t>期末余额</w:t>
            </w:r>
          </w:p>
        </w:tc>
      </w:tr>
      <w:tr w:rsidR="00931877" w:rsidRPr="00931877" w:rsidTr="00931877">
        <w:trPr>
          <w:trHeight w:val="240"/>
        </w:trPr>
        <w:tc>
          <w:tcPr>
            <w:tcW w:w="1377" w:type="dxa"/>
            <w:vMerge/>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widowControl/>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widowControl/>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931877" w:rsidRPr="00931877" w:rsidRDefault="00931877" w:rsidP="00931877">
            <w:pPr>
              <w:spacing w:before="40" w:after="40" w:line="240" w:lineRule="exact"/>
              <w:jc w:val="center"/>
              <w:rPr>
                <w:rFonts w:ascii="宋体" w:eastAsia="宋体" w:hAnsi="宋体" w:cs="宋体"/>
                <w:sz w:val="18"/>
                <w:szCs w:val="18"/>
              </w:rPr>
            </w:pPr>
            <w:r w:rsidRPr="00931877">
              <w:rPr>
                <w:rFonts w:ascii="宋体" w:eastAsia="宋体" w:hAnsi="宋体" w:cs="宋体" w:hint="eastAsia"/>
                <w:sz w:val="18"/>
                <w:szCs w:val="18"/>
              </w:rPr>
              <w:t>现金变动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931877" w:rsidRPr="00931877" w:rsidRDefault="00931877" w:rsidP="00931877">
            <w:pPr>
              <w:spacing w:before="40" w:after="40" w:line="240" w:lineRule="exact"/>
              <w:jc w:val="center"/>
              <w:rPr>
                <w:rFonts w:ascii="宋体" w:eastAsia="宋体" w:hAnsi="宋体" w:cs="宋体"/>
                <w:sz w:val="18"/>
                <w:szCs w:val="18"/>
              </w:rPr>
            </w:pPr>
            <w:r w:rsidRPr="00931877">
              <w:rPr>
                <w:rFonts w:ascii="宋体" w:eastAsia="宋体" w:hAnsi="宋体" w:cs="宋体" w:hint="eastAsia"/>
                <w:sz w:val="18"/>
                <w:szCs w:val="18"/>
              </w:rPr>
              <w:t>非现金变动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931877" w:rsidRPr="00931877" w:rsidRDefault="00931877" w:rsidP="00931877">
            <w:pPr>
              <w:spacing w:before="40" w:after="40" w:line="240" w:lineRule="exact"/>
              <w:jc w:val="center"/>
              <w:rPr>
                <w:rFonts w:ascii="宋体" w:eastAsia="宋体" w:hAnsi="宋体" w:cs="宋体"/>
                <w:sz w:val="18"/>
                <w:szCs w:val="18"/>
              </w:rPr>
            </w:pPr>
            <w:r w:rsidRPr="00931877">
              <w:rPr>
                <w:rFonts w:ascii="宋体" w:eastAsia="宋体" w:hAnsi="宋体" w:cs="宋体" w:hint="eastAsia"/>
                <w:sz w:val="18"/>
                <w:szCs w:val="18"/>
              </w:rPr>
              <w:t>现金变动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931877" w:rsidRPr="00931877" w:rsidRDefault="00931877" w:rsidP="00931877">
            <w:pPr>
              <w:spacing w:before="40" w:after="40" w:line="240" w:lineRule="exact"/>
              <w:jc w:val="center"/>
              <w:rPr>
                <w:rFonts w:ascii="宋体" w:eastAsia="宋体" w:hAnsi="宋体" w:cs="宋体"/>
                <w:sz w:val="18"/>
                <w:szCs w:val="18"/>
              </w:rPr>
            </w:pPr>
            <w:r w:rsidRPr="00931877">
              <w:rPr>
                <w:rFonts w:ascii="宋体" w:eastAsia="宋体" w:hAnsi="宋体" w:cs="宋体" w:hint="eastAsia"/>
                <w:sz w:val="18"/>
                <w:szCs w:val="18"/>
              </w:rPr>
              <w:t>非现金变动</w:t>
            </w:r>
          </w:p>
        </w:tc>
        <w:tc>
          <w:tcPr>
            <w:tcW w:w="1377" w:type="dxa"/>
            <w:vMerge/>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widowControl/>
              <w:rPr>
                <w:rFonts w:ascii="宋体" w:eastAsia="宋体" w:hAnsi="宋体" w:cs="宋体"/>
                <w:sz w:val="18"/>
                <w:szCs w:val="18"/>
              </w:rPr>
            </w:pPr>
          </w:p>
        </w:tc>
      </w:tr>
      <w:tr w:rsidR="00931877" w:rsidRPr="00931877" w:rsidTr="00931877">
        <w:trPr>
          <w:trHeight w:val="240"/>
        </w:trPr>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rPr>
                <w:rFonts w:ascii="宋体" w:eastAsia="宋体" w:hAnsi="宋体" w:cs="宋体"/>
                <w:sz w:val="18"/>
                <w:szCs w:val="18"/>
              </w:rPr>
            </w:pPr>
            <w:r w:rsidRPr="00931877">
              <w:rPr>
                <w:rFonts w:ascii="宋体" w:eastAsia="宋体" w:hAnsi="宋体" w:cs="宋体" w:hint="eastAsia"/>
                <w:sz w:val="18"/>
                <w:szCs w:val="18"/>
              </w:rPr>
              <w:t>短期借款</w:t>
            </w: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978,290,953.20</w:t>
            </w: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898,000,000.00</w:t>
            </w:r>
          </w:p>
        </w:tc>
        <w:tc>
          <w:tcPr>
            <w:tcW w:w="1377" w:type="dxa"/>
            <w:tcBorders>
              <w:top w:val="single" w:sz="2" w:space="0" w:color="auto"/>
              <w:left w:val="single" w:sz="2" w:space="0" w:color="auto"/>
              <w:bottom w:val="single" w:sz="2" w:space="0" w:color="auto"/>
              <w:right w:val="single" w:sz="2" w:space="0" w:color="auto"/>
            </w:tcBorders>
            <w:vAlign w:val="center"/>
          </w:tcPr>
          <w:p w:rsidR="00931877" w:rsidRPr="00931877" w:rsidRDefault="00931877" w:rsidP="0093187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716,705,701.88</w:t>
            </w: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71,193.03</w:t>
            </w: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1,159,514,058.29</w:t>
            </w:r>
          </w:p>
        </w:tc>
      </w:tr>
      <w:tr w:rsidR="00931877" w:rsidRPr="00931877" w:rsidTr="00931877">
        <w:trPr>
          <w:trHeight w:val="240"/>
        </w:trPr>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rPr>
                <w:rFonts w:ascii="宋体" w:eastAsia="宋体" w:hAnsi="宋体" w:cs="宋体"/>
                <w:sz w:val="18"/>
                <w:szCs w:val="18"/>
              </w:rPr>
            </w:pPr>
            <w:r w:rsidRPr="00931877">
              <w:rPr>
                <w:rFonts w:ascii="宋体" w:eastAsia="宋体" w:hAnsi="宋体" w:cs="宋体" w:hint="eastAsia"/>
                <w:sz w:val="18"/>
                <w:szCs w:val="18"/>
              </w:rPr>
              <w:t>一年内到期的非流动负债</w:t>
            </w: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19,519,743.75</w:t>
            </w:r>
          </w:p>
        </w:tc>
        <w:tc>
          <w:tcPr>
            <w:tcW w:w="1377" w:type="dxa"/>
            <w:tcBorders>
              <w:top w:val="single" w:sz="2" w:space="0" w:color="auto"/>
              <w:left w:val="single" w:sz="2" w:space="0" w:color="auto"/>
              <w:bottom w:val="single" w:sz="2" w:space="0" w:color="auto"/>
              <w:right w:val="single" w:sz="2" w:space="0" w:color="auto"/>
            </w:tcBorders>
            <w:vAlign w:val="center"/>
          </w:tcPr>
          <w:p w:rsidR="00931877" w:rsidRPr="00931877" w:rsidRDefault="00931877" w:rsidP="0093187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931877" w:rsidRPr="00931877" w:rsidRDefault="00931877" w:rsidP="0093187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500,000.00</w:t>
            </w: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2,643.75</w:t>
            </w: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19,017,100.00</w:t>
            </w:r>
          </w:p>
        </w:tc>
      </w:tr>
      <w:tr w:rsidR="00931877" w:rsidRPr="00931877" w:rsidTr="009318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931877" w:rsidRPr="00931877" w:rsidRDefault="00931877" w:rsidP="00931877">
            <w:pPr>
              <w:spacing w:before="40" w:after="40" w:line="240" w:lineRule="exact"/>
              <w:rPr>
                <w:rFonts w:ascii="宋体" w:eastAsia="宋体" w:hAnsi="宋体" w:cs="宋体"/>
                <w:sz w:val="18"/>
                <w:szCs w:val="18"/>
              </w:rPr>
            </w:pPr>
            <w:r w:rsidRPr="00931877">
              <w:rPr>
                <w:rFonts w:ascii="宋体" w:eastAsia="宋体" w:hAnsi="宋体" w:cs="宋体" w:hint="eastAsia"/>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997,810,696.95</w:t>
            </w: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898,000,000.00</w:t>
            </w:r>
          </w:p>
        </w:tc>
        <w:tc>
          <w:tcPr>
            <w:tcW w:w="1377" w:type="dxa"/>
            <w:tcBorders>
              <w:top w:val="single" w:sz="2" w:space="0" w:color="auto"/>
              <w:left w:val="single" w:sz="2" w:space="0" w:color="auto"/>
              <w:bottom w:val="single" w:sz="2" w:space="0" w:color="auto"/>
              <w:right w:val="single" w:sz="2" w:space="0" w:color="auto"/>
            </w:tcBorders>
            <w:vAlign w:val="center"/>
          </w:tcPr>
          <w:p w:rsidR="00931877" w:rsidRPr="00931877" w:rsidRDefault="00931877" w:rsidP="0093187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717,205,701.88</w:t>
            </w: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73,836.78</w:t>
            </w:r>
          </w:p>
        </w:tc>
        <w:tc>
          <w:tcPr>
            <w:tcW w:w="1377" w:type="dxa"/>
            <w:tcBorders>
              <w:top w:val="single" w:sz="2" w:space="0" w:color="auto"/>
              <w:left w:val="single" w:sz="2" w:space="0" w:color="auto"/>
              <w:bottom w:val="single" w:sz="2" w:space="0" w:color="auto"/>
              <w:right w:val="single" w:sz="2" w:space="0" w:color="auto"/>
            </w:tcBorders>
            <w:vAlign w:val="center"/>
            <w:hideMark/>
          </w:tcPr>
          <w:p w:rsidR="00931877" w:rsidRPr="00931877" w:rsidRDefault="00931877" w:rsidP="00931877">
            <w:pPr>
              <w:spacing w:line="240" w:lineRule="exact"/>
              <w:jc w:val="right"/>
              <w:rPr>
                <w:rFonts w:ascii="宋体" w:eastAsia="宋体" w:hAnsi="宋体" w:cs="宋体"/>
                <w:sz w:val="18"/>
                <w:szCs w:val="18"/>
              </w:rPr>
            </w:pPr>
            <w:r w:rsidRPr="00931877">
              <w:rPr>
                <w:rFonts w:ascii="宋体" w:eastAsia="宋体" w:hAnsi="宋体" w:cs="宋体" w:hint="eastAsia"/>
                <w:sz w:val="18"/>
                <w:szCs w:val="18"/>
              </w:rPr>
              <w:t>1,178,531,158.29</w:t>
            </w:r>
          </w:p>
        </w:tc>
      </w:tr>
    </w:tbl>
    <w:p w:rsidR="00BD1BB9" w:rsidRDefault="00452DEF">
      <w:pPr>
        <w:pStyle w:val="3"/>
        <w:spacing w:line="280" w:lineRule="exact"/>
        <w:jc w:val="left"/>
        <w:rPr>
          <w:rFonts w:ascii="宋体" w:hAnsi="宋体" w:cs="宋体"/>
          <w:b/>
          <w:bCs/>
        </w:rPr>
      </w:pPr>
      <w:bookmarkStart w:id="276" w:name="_Toc989141"/>
      <w:r>
        <w:rPr>
          <w:rFonts w:ascii="宋体" w:hAnsi="宋体" w:cs="宋体"/>
          <w:b/>
          <w:bCs/>
        </w:rPr>
        <w:t>50、现金流量表补充资料</w:t>
      </w:r>
      <w:bookmarkEnd w:id="276"/>
    </w:p>
    <w:p w:rsidR="00BD1BB9" w:rsidRDefault="00452DEF">
      <w:pPr>
        <w:keepNext/>
        <w:keepLines/>
        <w:spacing w:before="300" w:after="300" w:line="280" w:lineRule="exact"/>
        <w:outlineLvl w:val="3"/>
        <w:rPr>
          <w:rFonts w:ascii="宋体" w:eastAsia="宋体" w:hAnsi="宋体" w:cs="宋体"/>
          <w:b/>
          <w:bCs/>
          <w:szCs w:val="21"/>
        </w:rPr>
      </w:pPr>
      <w:bookmarkStart w:id="277" w:name="_Toc989142"/>
      <w:r>
        <w:rPr>
          <w:rFonts w:ascii="宋体" w:eastAsia="宋体" w:hAnsi="宋体" w:cs="宋体"/>
          <w:b/>
          <w:bCs/>
          <w:szCs w:val="21"/>
        </w:rPr>
        <w:t>（1） 现金流量表补充资料</w:t>
      </w:r>
      <w:bookmarkEnd w:id="277"/>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166,011,420.16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79,374,719.64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3,089,331.90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2,974,212.01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24,571,058.49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21,044,244.43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389,796.83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389,796.83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w:t>
            </w:r>
            <w:r>
              <w:rPr>
                <w:rFonts w:ascii="宋体" w:eastAsia="宋体" w:hAnsi="宋体" w:cs="宋体"/>
                <w:sz w:val="18"/>
                <w:szCs w:val="18"/>
              </w:rPr>
              <w:lastRenderedPageBreak/>
              <w:t>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固定资产报废损失（收益以“－”号填列）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52,521.57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-3,007,015.39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6,155,311.91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12,707,259.88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11,973,999.57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-119,239,861.80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-66,447,289.68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-868,042.67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-589,024.32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47,114.72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-9,246,852.90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141,287,267.51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28,026,193.45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-56,624,407.33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-38,867,346.64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-53,866,294.53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-22,772,779.26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5760E8">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2,584,404.89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3,380,399.27</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117,082,032.66</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15,448,105.88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一年内到期的可转换公司债券</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387,482,511.04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338,250,077.19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312,447,850.89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510,630,988.92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75,034,660.15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-172,380,911.73</w:t>
            </w:r>
          </w:p>
        </w:tc>
      </w:tr>
    </w:tbl>
    <w:p w:rsidR="00BD1BB9" w:rsidRDefault="00452DEF">
      <w:pPr>
        <w:keepNext/>
        <w:keepLines/>
        <w:spacing w:before="300" w:after="300" w:line="280" w:lineRule="exact"/>
        <w:outlineLvl w:val="3"/>
        <w:rPr>
          <w:rFonts w:ascii="宋体" w:eastAsia="宋体" w:hAnsi="宋体" w:cs="宋体"/>
          <w:b/>
          <w:bCs/>
          <w:szCs w:val="21"/>
        </w:rPr>
      </w:pPr>
      <w:bookmarkStart w:id="278" w:name="_Toc989143"/>
      <w:r>
        <w:rPr>
          <w:rFonts w:ascii="宋体" w:eastAsia="宋体" w:hAnsi="宋体" w:cs="宋体"/>
          <w:b/>
          <w:bCs/>
          <w:szCs w:val="21"/>
        </w:rPr>
        <w:t>（2） 现金和现金等价物的构成</w:t>
      </w:r>
      <w:bookmarkEnd w:id="278"/>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387,482,511.04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312,447,850.89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其中：库存现金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368,056,759.55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242,616,392.69</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19,425,751.49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69,831,458.20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可用于支付的存放中央银行款项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存放同业款项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拆放同业款项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其中：三个月内到期的债券投资</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387,482,511.04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312,447,850.89</w:t>
            </w:r>
          </w:p>
        </w:tc>
      </w:tr>
    </w:tbl>
    <w:p w:rsidR="00BD1BB9" w:rsidRDefault="00452DEF">
      <w:pPr>
        <w:pStyle w:val="3"/>
        <w:spacing w:line="280" w:lineRule="exact"/>
        <w:jc w:val="left"/>
        <w:rPr>
          <w:rFonts w:ascii="宋体" w:hAnsi="宋体" w:cs="宋体"/>
          <w:b/>
          <w:bCs/>
        </w:rPr>
      </w:pPr>
      <w:bookmarkStart w:id="279" w:name="_Toc989145"/>
      <w:r>
        <w:rPr>
          <w:rFonts w:ascii="宋体" w:hAnsi="宋体" w:cs="宋体"/>
          <w:b/>
          <w:bCs/>
        </w:rPr>
        <w:t>51、外币货币性项目</w:t>
      </w:r>
      <w:bookmarkEnd w:id="279"/>
    </w:p>
    <w:p w:rsidR="00BD1BB9" w:rsidRDefault="00452DEF">
      <w:pPr>
        <w:keepNext/>
        <w:keepLines/>
        <w:spacing w:before="300" w:after="300" w:line="280" w:lineRule="exact"/>
        <w:outlineLvl w:val="3"/>
        <w:rPr>
          <w:rFonts w:ascii="宋体" w:eastAsia="宋体" w:hAnsi="宋体" w:cs="宋体"/>
          <w:b/>
          <w:bCs/>
          <w:szCs w:val="21"/>
        </w:rPr>
      </w:pPr>
      <w:bookmarkStart w:id="280" w:name="_Toc989146"/>
      <w:r>
        <w:rPr>
          <w:rFonts w:ascii="宋体" w:eastAsia="宋体" w:hAnsi="宋体" w:cs="宋体"/>
          <w:b/>
          <w:bCs/>
          <w:szCs w:val="21"/>
        </w:rPr>
        <w:t>（1） 外币货币性项目</w:t>
      </w:r>
      <w:bookmarkEnd w:id="280"/>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99,873,486.36</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13,878,792.21</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7.1586</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99,352,721.91</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61,978.06</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8.4024</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520,764.45</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115,819,198.55</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15,968,660.52</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7.1586</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114,313,253.20</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179,228.00</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8.4024</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1,505,945.35</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26,978,873.46</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3,768,735.99</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7.1586</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26,978,873.46</w:t>
            </w:r>
          </w:p>
        </w:tc>
      </w:tr>
    </w:tbl>
    <w:p w:rsidR="00BD1BB9" w:rsidRDefault="00452DEF">
      <w:pPr>
        <w:keepNext/>
        <w:keepLines/>
        <w:spacing w:before="300" w:after="300" w:line="280" w:lineRule="exact"/>
        <w:outlineLvl w:val="3"/>
        <w:rPr>
          <w:rFonts w:ascii="宋体" w:eastAsia="宋体" w:hAnsi="宋体" w:cs="宋体"/>
          <w:b/>
          <w:bCs/>
          <w:szCs w:val="21"/>
        </w:rPr>
      </w:pPr>
      <w:bookmarkStart w:id="281" w:name="_Toc989147"/>
      <w:r>
        <w:rPr>
          <w:rFonts w:ascii="宋体" w:eastAsia="宋体" w:hAnsi="宋体" w:cs="宋体"/>
          <w:b/>
          <w:bCs/>
          <w:szCs w:val="21"/>
        </w:rPr>
        <w:t>（2） 境外经营实体说明，包括对于重要的境外经营实体，应披露其境外主要经营地、记账本位币及选择依据，记账本位币发生变化的还应披露原因。</w:t>
      </w:r>
      <w:bookmarkEnd w:id="281"/>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282" w:name="_Toc989148"/>
      <w:r>
        <w:rPr>
          <w:rFonts w:ascii="宋体" w:eastAsia="宋体" w:hAnsi="宋体" w:cs="宋体"/>
          <w:b/>
          <w:bCs/>
          <w:sz w:val="24"/>
          <w:szCs w:val="24"/>
        </w:rPr>
        <w:t>八、研发支出</w:t>
      </w:r>
      <w:bookmarkEnd w:id="28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领用材料</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1,248,887.52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1,054,112.02</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3,052,312.75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3,164,901.96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长期资产摊销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239,004.48</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261,522.04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108,526.39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62,405.94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4,648,731.14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4,542,941.96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其中：费用化研发支出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4,648,731.14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4,542,941.96</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资本化研发支出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BD1BB9" w:rsidRDefault="00452DEF">
      <w:pPr>
        <w:pStyle w:val="2"/>
        <w:spacing w:before="300" w:after="300" w:line="320" w:lineRule="exact"/>
        <w:rPr>
          <w:rFonts w:ascii="宋体" w:eastAsia="宋体" w:hAnsi="宋体" w:cs="宋体"/>
          <w:b/>
          <w:bCs/>
          <w:sz w:val="24"/>
          <w:szCs w:val="24"/>
        </w:rPr>
      </w:pPr>
      <w:bookmarkStart w:id="283" w:name="_Toc989149"/>
      <w:r>
        <w:rPr>
          <w:rFonts w:ascii="宋体" w:eastAsia="宋体" w:hAnsi="宋体" w:cs="宋体"/>
          <w:b/>
          <w:bCs/>
          <w:sz w:val="24"/>
          <w:szCs w:val="24"/>
        </w:rPr>
        <w:lastRenderedPageBreak/>
        <w:t>九、合并范围的变更</w:t>
      </w:r>
      <w:bookmarkEnd w:id="283"/>
    </w:p>
    <w:p w:rsidR="00BD1BB9" w:rsidRDefault="00452DEF">
      <w:pPr>
        <w:pStyle w:val="3"/>
        <w:spacing w:line="280" w:lineRule="exact"/>
        <w:jc w:val="left"/>
        <w:rPr>
          <w:rFonts w:ascii="宋体" w:hAnsi="宋体" w:cs="宋体"/>
          <w:b/>
          <w:bCs/>
        </w:rPr>
      </w:pPr>
      <w:bookmarkStart w:id="284" w:name="_Toc989150"/>
      <w:r>
        <w:rPr>
          <w:rFonts w:ascii="宋体" w:hAnsi="宋体" w:cs="宋体"/>
          <w:b/>
          <w:bCs/>
        </w:rPr>
        <w:t>1、非同一控制下企业合并</w:t>
      </w:r>
      <w:bookmarkEnd w:id="284"/>
    </w:p>
    <w:p w:rsidR="00BD1BB9" w:rsidRDefault="00452DEF" w:rsidP="005760E8">
      <w:pPr>
        <w:keepNext/>
        <w:keepLines/>
        <w:spacing w:before="300" w:after="300" w:line="280" w:lineRule="exact"/>
        <w:outlineLvl w:val="3"/>
        <w:rPr>
          <w:rFonts w:ascii="宋体" w:eastAsia="宋体" w:hAnsi="宋体" w:cs="宋体"/>
          <w:sz w:val="18"/>
          <w:szCs w:val="18"/>
        </w:rPr>
      </w:pPr>
      <w:bookmarkStart w:id="285" w:name="_Toc989151"/>
      <w:r>
        <w:rPr>
          <w:rFonts w:ascii="宋体" w:eastAsia="宋体" w:hAnsi="宋体" w:cs="宋体"/>
          <w:b/>
          <w:bCs/>
          <w:sz w:val="18"/>
          <w:szCs w:val="18"/>
        </w:rPr>
        <w:t>（1） 本期发生的非同一控制下企业合并</w:t>
      </w:r>
      <w:bookmarkEnd w:id="285"/>
    </w:p>
    <w:p w:rsidR="004A3B7E" w:rsidRDefault="00452DEF">
      <w:pPr>
        <w:pStyle w:val="a3"/>
        <w:divId w:val="2002417375"/>
        <w:rPr>
          <w:sz w:val="18"/>
          <w:szCs w:val="18"/>
        </w:rPr>
      </w:pPr>
      <w:r>
        <w:rPr>
          <w:rFonts w:hint="eastAsia"/>
          <w:sz w:val="18"/>
          <w:szCs w:val="18"/>
        </w:rPr>
        <w:t>无。</w:t>
      </w:r>
    </w:p>
    <w:p w:rsidR="00BD1BB9" w:rsidRDefault="00452DEF">
      <w:pPr>
        <w:pStyle w:val="3"/>
        <w:spacing w:line="280" w:lineRule="exact"/>
        <w:jc w:val="left"/>
        <w:rPr>
          <w:rFonts w:ascii="宋体" w:hAnsi="宋体" w:cs="宋体"/>
          <w:b/>
          <w:bCs/>
        </w:rPr>
      </w:pPr>
      <w:bookmarkStart w:id="286" w:name="_Toc989153"/>
      <w:r>
        <w:rPr>
          <w:rFonts w:ascii="宋体" w:hAnsi="宋体" w:cs="宋体"/>
          <w:b/>
          <w:bCs/>
        </w:rPr>
        <w:t>2、同一控制下企业合并</w:t>
      </w:r>
      <w:bookmarkEnd w:id="286"/>
    </w:p>
    <w:p w:rsidR="00BD1BB9" w:rsidRDefault="00452DEF" w:rsidP="005760E8">
      <w:pPr>
        <w:keepNext/>
        <w:keepLines/>
        <w:spacing w:before="300" w:after="300" w:line="280" w:lineRule="exact"/>
        <w:outlineLvl w:val="3"/>
        <w:rPr>
          <w:rFonts w:ascii="宋体" w:eastAsia="宋体" w:hAnsi="宋体" w:cs="宋体"/>
          <w:sz w:val="18"/>
          <w:szCs w:val="18"/>
        </w:rPr>
      </w:pPr>
      <w:bookmarkStart w:id="287" w:name="_Toc989154"/>
      <w:r>
        <w:rPr>
          <w:rFonts w:ascii="宋体" w:eastAsia="宋体" w:hAnsi="宋体" w:cs="宋体"/>
          <w:b/>
          <w:bCs/>
          <w:sz w:val="18"/>
          <w:szCs w:val="18"/>
        </w:rPr>
        <w:t>（1） 本期发生的同一控制下企业合并</w:t>
      </w:r>
      <w:bookmarkEnd w:id="287"/>
    </w:p>
    <w:p w:rsidR="004A3B7E" w:rsidRDefault="00452DEF">
      <w:pPr>
        <w:pStyle w:val="a3"/>
        <w:divId w:val="441341296"/>
        <w:rPr>
          <w:sz w:val="18"/>
          <w:szCs w:val="18"/>
        </w:rPr>
      </w:pPr>
      <w:r>
        <w:rPr>
          <w:rFonts w:hint="eastAsia"/>
          <w:sz w:val="18"/>
          <w:szCs w:val="18"/>
        </w:rPr>
        <w:t>无。</w:t>
      </w:r>
    </w:p>
    <w:p w:rsidR="00BD1BB9" w:rsidRDefault="00452DEF">
      <w:pPr>
        <w:pStyle w:val="3"/>
        <w:spacing w:line="280" w:lineRule="exact"/>
        <w:jc w:val="left"/>
        <w:rPr>
          <w:rFonts w:ascii="宋体" w:hAnsi="宋体" w:cs="宋体"/>
          <w:b/>
          <w:bCs/>
        </w:rPr>
      </w:pPr>
      <w:bookmarkStart w:id="288" w:name="_Toc989155"/>
      <w:r>
        <w:rPr>
          <w:rFonts w:ascii="宋体" w:hAnsi="宋体" w:cs="宋体"/>
          <w:b/>
          <w:bCs/>
        </w:rPr>
        <w:t>3、其他原因的合并范围变动</w:t>
      </w:r>
      <w:bookmarkEnd w:id="288"/>
    </w:p>
    <w:p w:rsidR="004A3B7E" w:rsidRDefault="00452DEF">
      <w:pPr>
        <w:pStyle w:val="a3"/>
        <w:spacing w:before="0" w:beforeAutospacing="0" w:after="0" w:afterAutospacing="0" w:line="400" w:lineRule="atLeast"/>
        <w:ind w:firstLine="360"/>
        <w:jc w:val="both"/>
        <w:divId w:val="1853833365"/>
        <w:rPr>
          <w:rFonts w:ascii="Times New Roman" w:hAnsi="Times New Roman" w:cs="Times New Roman"/>
          <w:sz w:val="21"/>
          <w:szCs w:val="21"/>
        </w:rPr>
      </w:pPr>
      <w:r>
        <w:rPr>
          <w:rFonts w:cs="Times New Roman" w:hint="eastAsia"/>
          <w:sz w:val="18"/>
          <w:szCs w:val="18"/>
        </w:rPr>
        <w:t>本期因新设子公司导致合并范围增加明细如下：                                单位：元</w:t>
      </w:r>
    </w:p>
    <w:tbl>
      <w:tblPr>
        <w:tblW w:w="9216" w:type="dxa"/>
        <w:jc w:val="center"/>
        <w:tblCellMar>
          <w:left w:w="0" w:type="dxa"/>
          <w:right w:w="0" w:type="dxa"/>
        </w:tblCellMar>
        <w:tblLook w:val="04A0" w:firstRow="1" w:lastRow="0" w:firstColumn="1" w:lastColumn="0" w:noHBand="0" w:noVBand="1"/>
      </w:tblPr>
      <w:tblGrid>
        <w:gridCol w:w="3688"/>
        <w:gridCol w:w="1418"/>
        <w:gridCol w:w="2126"/>
        <w:gridCol w:w="1984"/>
      </w:tblGrid>
      <w:tr w:rsidR="004A3B7E">
        <w:trPr>
          <w:divId w:val="1853833365"/>
          <w:trHeight w:val="345"/>
          <w:tblHeader/>
          <w:jc w:val="center"/>
        </w:trPr>
        <w:tc>
          <w:tcPr>
            <w:tcW w:w="3686"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A3B7E" w:rsidRDefault="00452DEF" w:rsidP="008F15E7">
            <w:pPr>
              <w:pStyle w:val="a3"/>
              <w:spacing w:before="0" w:beforeAutospacing="0" w:after="0" w:afterAutospacing="0" w:line="276" w:lineRule="auto"/>
              <w:jc w:val="center"/>
              <w:rPr>
                <w:rFonts w:ascii="Times New Roman" w:hAnsi="Times New Roman" w:cs="Times New Roman"/>
                <w:sz w:val="21"/>
                <w:szCs w:val="21"/>
              </w:rPr>
            </w:pPr>
            <w:r>
              <w:rPr>
                <w:rFonts w:cs="Times New Roman" w:hint="eastAsia"/>
                <w:sz w:val="18"/>
                <w:szCs w:val="18"/>
              </w:rPr>
              <w:t>名  称</w:t>
            </w:r>
          </w:p>
        </w:tc>
        <w:tc>
          <w:tcPr>
            <w:tcW w:w="141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rsidP="008F15E7">
            <w:pPr>
              <w:pStyle w:val="a3"/>
              <w:spacing w:before="0" w:beforeAutospacing="0" w:after="0" w:afterAutospacing="0" w:line="276" w:lineRule="auto"/>
              <w:jc w:val="center"/>
              <w:rPr>
                <w:rFonts w:ascii="Times New Roman" w:hAnsi="Times New Roman" w:cs="Times New Roman"/>
                <w:sz w:val="21"/>
                <w:szCs w:val="21"/>
              </w:rPr>
            </w:pPr>
            <w:r>
              <w:rPr>
                <w:rFonts w:cs="Times New Roman" w:hint="eastAsia"/>
                <w:sz w:val="18"/>
                <w:szCs w:val="18"/>
              </w:rPr>
              <w:t>持股比例</w:t>
            </w:r>
          </w:p>
        </w:tc>
        <w:tc>
          <w:tcPr>
            <w:tcW w:w="2126"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rsidP="008F15E7">
            <w:pPr>
              <w:pStyle w:val="a3"/>
              <w:spacing w:before="0" w:beforeAutospacing="0" w:after="0" w:afterAutospacing="0" w:line="276" w:lineRule="auto"/>
              <w:jc w:val="center"/>
              <w:rPr>
                <w:rFonts w:ascii="Times New Roman" w:hAnsi="Times New Roman" w:cs="Times New Roman"/>
                <w:sz w:val="21"/>
                <w:szCs w:val="21"/>
              </w:rPr>
            </w:pPr>
            <w:r>
              <w:rPr>
                <w:rFonts w:cs="Times New Roman" w:hint="eastAsia"/>
                <w:sz w:val="18"/>
                <w:szCs w:val="18"/>
              </w:rPr>
              <w:t>期末归属于母公司的</w:t>
            </w:r>
          </w:p>
          <w:p w:rsidR="004A3B7E" w:rsidRDefault="00452DEF" w:rsidP="008F15E7">
            <w:pPr>
              <w:pStyle w:val="a3"/>
              <w:spacing w:before="0" w:beforeAutospacing="0" w:after="0" w:afterAutospacing="0" w:line="276" w:lineRule="auto"/>
              <w:jc w:val="center"/>
              <w:rPr>
                <w:rFonts w:ascii="Times New Roman" w:hAnsi="Times New Roman" w:cs="Times New Roman"/>
                <w:sz w:val="21"/>
                <w:szCs w:val="21"/>
              </w:rPr>
            </w:pPr>
            <w:r>
              <w:rPr>
                <w:rFonts w:cs="Times New Roman" w:hint="eastAsia"/>
                <w:sz w:val="18"/>
                <w:szCs w:val="18"/>
              </w:rPr>
              <w:t>净资产</w:t>
            </w:r>
          </w:p>
        </w:tc>
        <w:tc>
          <w:tcPr>
            <w:tcW w:w="198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rsidP="008F15E7">
            <w:pPr>
              <w:pStyle w:val="a3"/>
              <w:spacing w:before="0" w:beforeAutospacing="0" w:after="0" w:afterAutospacing="0" w:line="276" w:lineRule="auto"/>
              <w:jc w:val="center"/>
              <w:rPr>
                <w:rFonts w:ascii="Times New Roman" w:hAnsi="Times New Roman" w:cs="Times New Roman"/>
                <w:sz w:val="21"/>
                <w:szCs w:val="21"/>
              </w:rPr>
            </w:pPr>
            <w:r>
              <w:rPr>
                <w:rFonts w:cs="Times New Roman" w:hint="eastAsia"/>
                <w:sz w:val="18"/>
                <w:szCs w:val="18"/>
              </w:rPr>
              <w:t>本期归属于母公司的</w:t>
            </w:r>
          </w:p>
          <w:p w:rsidR="004A3B7E" w:rsidRDefault="00452DEF" w:rsidP="008F15E7">
            <w:pPr>
              <w:pStyle w:val="a3"/>
              <w:spacing w:before="0" w:beforeAutospacing="0" w:after="0" w:afterAutospacing="0" w:line="276" w:lineRule="auto"/>
              <w:jc w:val="center"/>
              <w:rPr>
                <w:rFonts w:ascii="Times New Roman" w:hAnsi="Times New Roman" w:cs="Times New Roman"/>
                <w:sz w:val="21"/>
                <w:szCs w:val="21"/>
              </w:rPr>
            </w:pPr>
            <w:r>
              <w:rPr>
                <w:rFonts w:cs="Times New Roman" w:hint="eastAsia"/>
                <w:sz w:val="18"/>
                <w:szCs w:val="18"/>
              </w:rPr>
              <w:t>净利润</w:t>
            </w:r>
          </w:p>
        </w:tc>
      </w:tr>
      <w:tr w:rsidR="004A3B7E">
        <w:trPr>
          <w:divId w:val="1853833365"/>
          <w:trHeight w:val="527"/>
          <w:jc w:val="center"/>
        </w:trPr>
        <w:tc>
          <w:tcPr>
            <w:tcW w:w="3686"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A3B7E" w:rsidRDefault="00452DEF" w:rsidP="008F15E7">
            <w:pPr>
              <w:pStyle w:val="a3"/>
              <w:spacing w:before="0" w:beforeAutospacing="0" w:after="0" w:afterAutospacing="0" w:line="276" w:lineRule="auto"/>
              <w:rPr>
                <w:rFonts w:ascii="Times New Roman" w:hAnsi="Times New Roman" w:cs="Times New Roman"/>
                <w:sz w:val="21"/>
                <w:szCs w:val="21"/>
              </w:rPr>
            </w:pPr>
            <w:r>
              <w:rPr>
                <w:rFonts w:cs="Times New Roman" w:hint="eastAsia"/>
                <w:sz w:val="18"/>
                <w:szCs w:val="18"/>
              </w:rPr>
              <w:t>江阴市旭华化工贸易有限公司</w:t>
            </w:r>
          </w:p>
        </w:tc>
        <w:tc>
          <w:tcPr>
            <w:tcW w:w="141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rsidP="008F15E7">
            <w:pPr>
              <w:pStyle w:val="a3"/>
              <w:spacing w:before="0" w:beforeAutospacing="0" w:after="0" w:afterAutospacing="0" w:line="276" w:lineRule="auto"/>
              <w:jc w:val="right"/>
              <w:rPr>
                <w:rFonts w:ascii="Times New Roman" w:hAnsi="Times New Roman" w:cs="Times New Roman"/>
                <w:sz w:val="21"/>
                <w:szCs w:val="21"/>
              </w:rPr>
            </w:pPr>
            <w:r>
              <w:rPr>
                <w:rFonts w:cs="Times New Roman" w:hint="eastAsia"/>
                <w:sz w:val="18"/>
                <w:szCs w:val="18"/>
              </w:rPr>
              <w:t>100%</w:t>
            </w:r>
          </w:p>
        </w:tc>
        <w:tc>
          <w:tcPr>
            <w:tcW w:w="212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rsidP="008F15E7">
            <w:pPr>
              <w:pStyle w:val="a3"/>
              <w:spacing w:before="0" w:beforeAutospacing="0" w:after="0" w:afterAutospacing="0" w:line="276" w:lineRule="auto"/>
              <w:jc w:val="right"/>
              <w:rPr>
                <w:rFonts w:ascii="Times New Roman" w:hAnsi="Times New Roman" w:cs="Times New Roman"/>
                <w:sz w:val="21"/>
                <w:szCs w:val="21"/>
              </w:rPr>
            </w:pPr>
            <w:r>
              <w:rPr>
                <w:rFonts w:cs="Times New Roman" w:hint="eastAsia"/>
                <w:sz w:val="18"/>
                <w:szCs w:val="18"/>
              </w:rPr>
              <w:t>2,999,250.00</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rsidP="008F15E7">
            <w:pPr>
              <w:pStyle w:val="a3"/>
              <w:spacing w:before="0" w:beforeAutospacing="0" w:after="0" w:afterAutospacing="0" w:line="276" w:lineRule="auto"/>
              <w:jc w:val="right"/>
              <w:rPr>
                <w:rFonts w:ascii="Times New Roman" w:hAnsi="Times New Roman" w:cs="Times New Roman"/>
                <w:sz w:val="21"/>
                <w:szCs w:val="21"/>
              </w:rPr>
            </w:pPr>
            <w:r>
              <w:rPr>
                <w:rFonts w:cs="Times New Roman" w:hint="eastAsia"/>
                <w:sz w:val="18"/>
                <w:szCs w:val="18"/>
              </w:rPr>
              <w:t>-750.00</w:t>
            </w:r>
          </w:p>
        </w:tc>
      </w:tr>
    </w:tbl>
    <w:p w:rsidR="00BD1BB9" w:rsidRDefault="00452DEF">
      <w:pPr>
        <w:pStyle w:val="2"/>
        <w:spacing w:before="300" w:after="300" w:line="320" w:lineRule="exact"/>
        <w:rPr>
          <w:rFonts w:ascii="宋体" w:eastAsia="宋体" w:hAnsi="宋体" w:cs="宋体"/>
          <w:b/>
          <w:bCs/>
          <w:sz w:val="24"/>
          <w:szCs w:val="24"/>
        </w:rPr>
      </w:pPr>
      <w:bookmarkStart w:id="289" w:name="_Toc989156"/>
      <w:r>
        <w:rPr>
          <w:rFonts w:ascii="宋体" w:eastAsia="宋体" w:hAnsi="宋体" w:cs="宋体"/>
          <w:b/>
          <w:bCs/>
          <w:sz w:val="24"/>
          <w:szCs w:val="24"/>
        </w:rPr>
        <w:t>十、在其他主体中的权益</w:t>
      </w:r>
      <w:bookmarkEnd w:id="289"/>
    </w:p>
    <w:p w:rsidR="00BD1BB9" w:rsidRDefault="00452DEF">
      <w:pPr>
        <w:pStyle w:val="3"/>
        <w:spacing w:line="280" w:lineRule="exact"/>
        <w:jc w:val="left"/>
        <w:rPr>
          <w:rFonts w:ascii="宋体" w:hAnsi="宋体" w:cs="宋体"/>
          <w:b/>
          <w:bCs/>
        </w:rPr>
      </w:pPr>
      <w:bookmarkStart w:id="290" w:name="_Toc989157"/>
      <w:r>
        <w:rPr>
          <w:rFonts w:ascii="宋体" w:hAnsi="宋体" w:cs="宋体"/>
          <w:b/>
          <w:bCs/>
        </w:rPr>
        <w:t>1、在子公司中的权益</w:t>
      </w:r>
      <w:bookmarkEnd w:id="290"/>
    </w:p>
    <w:p w:rsidR="00BD1BB9" w:rsidRDefault="00452DEF">
      <w:pPr>
        <w:keepNext/>
        <w:keepLines/>
        <w:spacing w:before="300" w:after="300" w:line="280" w:lineRule="exact"/>
        <w:outlineLvl w:val="3"/>
        <w:rPr>
          <w:rFonts w:ascii="宋体" w:eastAsia="宋体" w:hAnsi="宋体" w:cs="宋体"/>
          <w:b/>
          <w:bCs/>
          <w:sz w:val="18"/>
          <w:szCs w:val="18"/>
        </w:rPr>
      </w:pPr>
      <w:bookmarkStart w:id="291" w:name="_Toc989158"/>
      <w:r>
        <w:rPr>
          <w:rFonts w:ascii="宋体" w:eastAsia="宋体" w:hAnsi="宋体" w:cs="宋体"/>
          <w:b/>
          <w:bCs/>
          <w:sz w:val="18"/>
          <w:szCs w:val="18"/>
        </w:rPr>
        <w:t>（1） 企业集团的构成</w:t>
      </w:r>
      <w:bookmarkEnd w:id="291"/>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BD1BB9">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取得方式</w:t>
            </w:r>
          </w:p>
        </w:tc>
      </w:tr>
      <w:tr w:rsidR="00BD1BB9">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205" w:type="dxa"/>
            <w:vMerge/>
            <w:tcBorders>
              <w:top w:val="single" w:sz="2" w:space="0" w:color="auto"/>
              <w:left w:val="single" w:sz="2" w:space="0" w:color="auto"/>
              <w:bottom w:val="single" w:sz="2" w:space="0" w:color="auto"/>
              <w:right w:val="single" w:sz="2" w:space="0" w:color="auto"/>
            </w:tcBorders>
            <w:vAlign w:val="center"/>
          </w:tcPr>
          <w:p w:rsidR="00BD1BB9" w:rsidRDefault="00BD1BB9"/>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204,421,913.00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码头的建设经营、仓储</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BD1BB9">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江阴华西村资本有限公司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700,000,000.00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股权投资；化纤等销售</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设立</w:t>
            </w:r>
          </w:p>
        </w:tc>
      </w:tr>
      <w:tr w:rsidR="00BD1BB9">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新材料的技术开发</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设立</w:t>
            </w:r>
          </w:p>
        </w:tc>
      </w:tr>
      <w:tr w:rsidR="00BD1BB9">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产业用纺织制成品的生产与销售</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设立</w:t>
            </w:r>
          </w:p>
        </w:tc>
      </w:tr>
      <w:tr w:rsidR="00BD1BB9">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上海鑫华汐实业有限公司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针纺织品及原料销售</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设立</w:t>
            </w:r>
          </w:p>
        </w:tc>
      </w:tr>
      <w:tr w:rsidR="00BD1BB9">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江阴市旭华化工贸易有限公司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3,000,000.00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化工产品销售</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设立</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对于纳入合并范围的重要的结构化主体，控制的依据：</w:t>
      </w:r>
    </w:p>
    <w:p w:rsidR="004A3B7E" w:rsidRDefault="00452DEF">
      <w:pPr>
        <w:pStyle w:val="a3"/>
        <w:spacing w:before="0" w:beforeAutospacing="0" w:after="0" w:afterAutospacing="0" w:line="400" w:lineRule="atLeast"/>
        <w:ind w:firstLine="360"/>
        <w:jc w:val="both"/>
        <w:divId w:val="516693890"/>
        <w:rPr>
          <w:rFonts w:ascii="Times New Roman" w:hAnsi="Times New Roman" w:cs="Times New Roman"/>
          <w:sz w:val="21"/>
          <w:szCs w:val="21"/>
        </w:rPr>
      </w:pPr>
      <w:r>
        <w:rPr>
          <w:rFonts w:cs="Times New Roman" w:hint="eastAsia"/>
          <w:sz w:val="18"/>
          <w:szCs w:val="18"/>
        </w:rPr>
        <w:t>截至2025年6月30日，纳入公司合并财务报表范围的结构化主体的净资产为人民币115,487.56万元。公司确定是否合并特定结构化主体是基于：对结构化主体所拥有的权力；通过参与结构化主体的相关活动而享有的可变回报；以及有能力运用对结构化主体的权力影响公司回报金额的评估结果。基于上述标准，2025年6月末纳入公司合并报表范围的结构化主体信息如下：</w:t>
      </w:r>
    </w:p>
    <w:tbl>
      <w:tblPr>
        <w:tblW w:w="0" w:type="auto"/>
        <w:tblCellMar>
          <w:left w:w="0" w:type="dxa"/>
          <w:right w:w="0" w:type="dxa"/>
        </w:tblCellMar>
        <w:tblLook w:val="04A0" w:firstRow="1" w:lastRow="0" w:firstColumn="1" w:lastColumn="0" w:noHBand="0" w:noVBand="1"/>
      </w:tblPr>
      <w:tblGrid>
        <w:gridCol w:w="2376"/>
        <w:gridCol w:w="1276"/>
        <w:gridCol w:w="992"/>
        <w:gridCol w:w="1553"/>
        <w:gridCol w:w="859"/>
        <w:gridCol w:w="844"/>
        <w:gridCol w:w="1316"/>
      </w:tblGrid>
      <w:tr w:rsidR="004A3B7E">
        <w:trPr>
          <w:divId w:val="516693890"/>
          <w:tblHeader/>
        </w:trPr>
        <w:tc>
          <w:tcPr>
            <w:tcW w:w="23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结构化主体名称</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主要经营地</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注册地</w:t>
            </w:r>
          </w:p>
        </w:tc>
        <w:tc>
          <w:tcPr>
            <w:tcW w:w="155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业务性质</w:t>
            </w:r>
          </w:p>
        </w:tc>
        <w:tc>
          <w:tcPr>
            <w:tcW w:w="17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出资比例（%）</w:t>
            </w:r>
          </w:p>
        </w:tc>
        <w:tc>
          <w:tcPr>
            <w:tcW w:w="13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取得方式</w:t>
            </w:r>
          </w:p>
        </w:tc>
      </w:tr>
      <w:tr w:rsidR="004A3B7E">
        <w:trPr>
          <w:divId w:val="51669389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3B7E" w:rsidRDefault="004A3B7E">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4A3B7E" w:rsidRDefault="004A3B7E">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4A3B7E" w:rsidRDefault="004A3B7E">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4A3B7E" w:rsidRDefault="004A3B7E">
            <w:pPr>
              <w:rPr>
                <w:rFonts w:ascii="Times New Roman" w:eastAsia="宋体" w:hAnsi="Times New Roman" w:cs="Times New Roman"/>
                <w:szCs w:val="21"/>
              </w:rPr>
            </w:pPr>
          </w:p>
        </w:tc>
        <w:tc>
          <w:tcPr>
            <w:tcW w:w="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直接</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间接</w:t>
            </w:r>
          </w:p>
        </w:tc>
        <w:tc>
          <w:tcPr>
            <w:tcW w:w="0" w:type="auto"/>
            <w:vMerge/>
            <w:tcBorders>
              <w:top w:val="single" w:sz="8" w:space="0" w:color="auto"/>
              <w:left w:val="nil"/>
              <w:bottom w:val="single" w:sz="8" w:space="0" w:color="auto"/>
              <w:right w:val="single" w:sz="8" w:space="0" w:color="auto"/>
            </w:tcBorders>
            <w:vAlign w:val="center"/>
            <w:hideMark/>
          </w:tcPr>
          <w:p w:rsidR="004A3B7E" w:rsidRDefault="004A3B7E">
            <w:pPr>
              <w:rPr>
                <w:rFonts w:ascii="Times New Roman" w:eastAsia="宋体" w:hAnsi="Times New Roman" w:cs="Times New Roman"/>
                <w:szCs w:val="21"/>
              </w:rPr>
            </w:pPr>
          </w:p>
        </w:tc>
      </w:tr>
      <w:tr w:rsidR="004A3B7E">
        <w:trPr>
          <w:divId w:val="516693890"/>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上海启澜企业管理咨询合伙企业（有限合伙）</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上海市</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上海市</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企业管理咨询</w:t>
            </w:r>
          </w:p>
        </w:tc>
        <w:tc>
          <w:tcPr>
            <w:tcW w:w="8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100.00</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设立</w:t>
            </w:r>
          </w:p>
        </w:tc>
      </w:tr>
    </w:tbl>
    <w:p w:rsidR="00BD1BB9" w:rsidRDefault="00452DEF">
      <w:pPr>
        <w:pStyle w:val="3"/>
        <w:spacing w:line="280" w:lineRule="exact"/>
        <w:jc w:val="left"/>
        <w:rPr>
          <w:rFonts w:ascii="宋体" w:hAnsi="宋体" w:cs="宋体"/>
          <w:b/>
          <w:bCs/>
        </w:rPr>
      </w:pPr>
      <w:bookmarkStart w:id="292" w:name="_Toc989159"/>
      <w:r>
        <w:rPr>
          <w:rFonts w:ascii="宋体" w:hAnsi="宋体" w:cs="宋体"/>
          <w:b/>
          <w:bCs/>
        </w:rPr>
        <w:t>2、在合营企业或联营企业中的权益</w:t>
      </w:r>
      <w:bookmarkEnd w:id="292"/>
    </w:p>
    <w:p w:rsidR="00BD1BB9" w:rsidRDefault="00452DEF">
      <w:pPr>
        <w:keepNext/>
        <w:keepLines/>
        <w:spacing w:before="300" w:after="300" w:line="280" w:lineRule="exact"/>
        <w:outlineLvl w:val="3"/>
        <w:rPr>
          <w:rFonts w:ascii="宋体" w:eastAsia="宋体" w:hAnsi="宋体" w:cs="宋体"/>
          <w:b/>
          <w:bCs/>
          <w:szCs w:val="21"/>
        </w:rPr>
      </w:pPr>
      <w:bookmarkStart w:id="293" w:name="_Toc989160"/>
      <w:r>
        <w:rPr>
          <w:rFonts w:ascii="宋体" w:eastAsia="宋体" w:hAnsi="宋体" w:cs="宋体"/>
          <w:b/>
          <w:bCs/>
          <w:szCs w:val="21"/>
        </w:rPr>
        <w:t>（1） 重要的合营企业或联营企业</w:t>
      </w:r>
      <w:bookmarkEnd w:id="29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云南屏边华西村矿业有限公司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屏边县</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屏边县</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矿石开采销售</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权益法</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联储证券股份有限公司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深圳市</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青岛市</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证券经纪</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11.73%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权益法</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港口拖轮服务等</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14.40%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权益法</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无锡市</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投资与管理</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40.92%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权益法</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Source Photonics Holdings(Cayman) Limited</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中国、美国</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开曼群岛</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光模块研发与生产</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27.66%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权益法</w:t>
            </w:r>
          </w:p>
        </w:tc>
      </w:tr>
    </w:tbl>
    <w:p w:rsidR="004A3B7E" w:rsidRDefault="00452DEF">
      <w:pPr>
        <w:pStyle w:val="a3"/>
        <w:spacing w:before="0" w:beforeAutospacing="0" w:after="0" w:afterAutospacing="0" w:line="400" w:lineRule="atLeast"/>
        <w:ind w:firstLine="360"/>
        <w:jc w:val="both"/>
        <w:divId w:val="1567108465"/>
        <w:rPr>
          <w:rFonts w:ascii="Times New Roman" w:hAnsi="Times New Roman" w:cs="Times New Roman"/>
          <w:sz w:val="21"/>
          <w:szCs w:val="21"/>
        </w:rPr>
      </w:pPr>
      <w:r>
        <w:rPr>
          <w:rFonts w:cs="Times New Roman" w:hint="eastAsia"/>
          <w:sz w:val="18"/>
          <w:szCs w:val="18"/>
        </w:rPr>
        <w:t>注：公司在上述公司董事会均派有代表，对其有重要影响，公司对上述公司长期股权投资采用权益法核算，其中Source Photonics Holdings(Cayman) Limited的持股比例是根据其公司已达到行权条件但尚未行权的员工期权稀释后的股本计算得出。</w:t>
      </w:r>
    </w:p>
    <w:p w:rsidR="00BD1BB9" w:rsidRDefault="00452DEF">
      <w:pPr>
        <w:keepNext/>
        <w:keepLines/>
        <w:spacing w:before="300" w:after="300" w:line="280" w:lineRule="exact"/>
        <w:outlineLvl w:val="3"/>
        <w:rPr>
          <w:rFonts w:ascii="宋体" w:eastAsia="宋体" w:hAnsi="宋体" w:cs="宋体"/>
          <w:b/>
          <w:bCs/>
          <w:szCs w:val="21"/>
        </w:rPr>
      </w:pPr>
      <w:bookmarkStart w:id="294" w:name="_Toc989161"/>
      <w:r>
        <w:rPr>
          <w:rFonts w:ascii="宋体" w:eastAsia="宋体" w:hAnsi="宋体" w:cs="宋体"/>
          <w:b/>
          <w:bCs/>
          <w:szCs w:val="21"/>
        </w:rPr>
        <w:t>（2） 重要联营企业的主要财务信息</w:t>
      </w:r>
      <w:bookmarkEnd w:id="294"/>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联储证券股份有限公司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Source Photonics Holdings(Cayman) Limited</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联储证券股份有限公司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Source Photonics Holdings(Cayman) Limited</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19,549,631,479.24</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631,007,018.89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2,713,754,298.80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21,288,208,036.06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482,524,016.53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2,099,964,393.85</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3,302,617,468.91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5,675,985,933.42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1,206,571,253.30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2,563,457,466.96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5,423,401,297.87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1,147,703,729.84</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资产合计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22,852,248,948.15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6,306,992,952.31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3,920,325,552.10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23,851,665,503.02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5,905,925,314.40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3,247,668,123.69</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12,693,055,227.12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278,456,167.92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2,281,519,284.27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13,250,382,957.85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100,971,236.98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1,953,673,209.60</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3,289,235,621.48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1,051,345,375.65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188,477,460.29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3,786,869,866.75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1,036,773,184.26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174,631,362.69</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15,982,290,848.60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1,329,801,543.57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2,469,996,744.56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17,037,252,824.60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1,137,744,421.24</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2,128,304,572.29</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1,308,736,024.77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7,448,625.16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1,158,356,742.88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7,479,632.49</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6,869,958,099.55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3,668,455,383.97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1,442,880,182.38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6,814,412,678.42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3,609,824,150.28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1,111,883,918.93</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805,783,079.19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1,501,286,081.80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399,034,596.18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799,268,110.71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1,477,291,718.46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307,496,184.37</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351,406,220.31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-137,191,034.72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753,454,632.82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351,406,220.31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-137,191,034.72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753,454,632.82</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1,157,189,299.50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1,364,095,047.08</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1,152,489,229.00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1,150,674,331.02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1,340,100,683.74</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1,060,950,817.19</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432,632,470.09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11,817,510.23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2,111,332,089.33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394,321,201.76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17,512,922.86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997,557,905.16</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56,338,993.54</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55,703,259.67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326,934,407.02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10,439,774.97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74,456,270.96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58,014,354.23</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-793,572.41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4,061,856.43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-2,738,692.60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-14,875,820.90</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55,545,421.13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55,703,259.67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330,996,263.45</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7,701,082.37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74,456,270.96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43,138,533.33</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61,386,236.43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bl>
    <w:p w:rsidR="004A3B7E" w:rsidRDefault="00452DEF">
      <w:pPr>
        <w:pStyle w:val="a3"/>
        <w:spacing w:before="0" w:beforeAutospacing="0" w:after="0" w:afterAutospacing="0" w:line="400" w:lineRule="atLeast"/>
        <w:ind w:firstLine="360"/>
        <w:jc w:val="both"/>
        <w:divId w:val="97875824"/>
        <w:rPr>
          <w:rFonts w:cs="Times New Roman"/>
          <w:sz w:val="18"/>
          <w:szCs w:val="18"/>
        </w:rPr>
      </w:pPr>
      <w:r>
        <w:rPr>
          <w:rFonts w:cs="Times New Roman" w:hint="eastAsia"/>
          <w:sz w:val="18"/>
          <w:szCs w:val="18"/>
        </w:rPr>
        <w:t>注：考虑Source Photonics Holdings(Cayman) Limited股权架构拆分影响，以上数据为还原后VENUS PEARL SPV2 CO LIMITED的数据。</w:t>
      </w:r>
    </w:p>
    <w:p w:rsidR="00BD1BB9" w:rsidRDefault="00452DEF">
      <w:pPr>
        <w:keepNext/>
        <w:keepLines/>
        <w:spacing w:before="300" w:after="300" w:line="280" w:lineRule="exact"/>
        <w:outlineLvl w:val="3"/>
        <w:rPr>
          <w:rFonts w:ascii="宋体" w:eastAsia="宋体" w:hAnsi="宋体" w:cs="宋体"/>
          <w:b/>
          <w:bCs/>
          <w:szCs w:val="21"/>
        </w:rPr>
      </w:pPr>
      <w:bookmarkStart w:id="295" w:name="_Toc989162"/>
      <w:r>
        <w:rPr>
          <w:rFonts w:ascii="宋体" w:eastAsia="宋体" w:hAnsi="宋体" w:cs="宋体"/>
          <w:b/>
          <w:bCs/>
          <w:szCs w:val="21"/>
        </w:rPr>
        <w:t>（3） 不重要的合营企业和联营企业的汇总财务信息</w:t>
      </w:r>
      <w:bookmarkEnd w:id="295"/>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965882" w:rsidRDefault="00965882">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17,901,865.95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18,602,182.03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19,683.92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-163,597.54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19,683.92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-163,597.54</w:t>
            </w:r>
          </w:p>
        </w:tc>
      </w:tr>
    </w:tbl>
    <w:p w:rsidR="00BD1BB9" w:rsidRDefault="00BD1BB9">
      <w:pPr>
        <w:spacing w:before="100" w:after="100" w:line="240" w:lineRule="exact"/>
        <w:rPr>
          <w:rFonts w:ascii="宋体" w:eastAsia="宋体" w:hAnsi="宋体" w:cs="宋体"/>
          <w:sz w:val="18"/>
          <w:szCs w:val="18"/>
        </w:rPr>
      </w:pPr>
    </w:p>
    <w:tbl>
      <w:tblPr>
        <w:tblW w:w="9568" w:type="dxa"/>
        <w:jc w:val="center"/>
        <w:tblInd w:w="-352" w:type="dxa"/>
        <w:tblCellMar>
          <w:left w:w="0" w:type="dxa"/>
          <w:right w:w="0" w:type="dxa"/>
        </w:tblCellMar>
        <w:tblLook w:val="04A0" w:firstRow="1" w:lastRow="0" w:firstColumn="1" w:lastColumn="0" w:noHBand="0" w:noVBand="1"/>
      </w:tblPr>
      <w:tblGrid>
        <w:gridCol w:w="4357"/>
        <w:gridCol w:w="2580"/>
        <w:gridCol w:w="2631"/>
      </w:tblGrid>
      <w:tr w:rsidR="004A3B7E" w:rsidTr="00240BDB">
        <w:trPr>
          <w:divId w:val="1079181587"/>
          <w:trHeight w:val="360"/>
          <w:tblHeader/>
          <w:jc w:val="center"/>
        </w:trPr>
        <w:tc>
          <w:tcPr>
            <w:tcW w:w="43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258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期末余额/本期金额</w:t>
            </w:r>
          </w:p>
        </w:tc>
        <w:tc>
          <w:tcPr>
            <w:tcW w:w="263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期初余额/上年同期金额</w:t>
            </w:r>
          </w:p>
        </w:tc>
      </w:tr>
      <w:tr w:rsidR="004A3B7E" w:rsidTr="00240BDB">
        <w:trPr>
          <w:divId w:val="1079181587"/>
          <w:trHeight w:val="360"/>
          <w:jc w:val="center"/>
        </w:trPr>
        <w:tc>
          <w:tcPr>
            <w:tcW w:w="435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联营企业：</w:t>
            </w:r>
          </w:p>
        </w:tc>
        <w:tc>
          <w:tcPr>
            <w:tcW w:w="25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26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4A3B7E" w:rsidTr="00240BDB">
        <w:trPr>
          <w:divId w:val="1079181587"/>
          <w:trHeight w:val="360"/>
          <w:jc w:val="center"/>
        </w:trPr>
        <w:tc>
          <w:tcPr>
            <w:tcW w:w="435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云南屏边华西村矿业有限公司</w:t>
            </w:r>
          </w:p>
        </w:tc>
        <w:tc>
          <w:tcPr>
            <w:tcW w:w="2580"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13,326,465.21</w:t>
            </w:r>
          </w:p>
        </w:tc>
        <w:tc>
          <w:tcPr>
            <w:tcW w:w="2631"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13,545,804.08</w:t>
            </w:r>
          </w:p>
        </w:tc>
      </w:tr>
      <w:tr w:rsidR="004A3B7E" w:rsidTr="00240BDB">
        <w:trPr>
          <w:divId w:val="1079181587"/>
          <w:trHeight w:val="360"/>
          <w:jc w:val="center"/>
        </w:trPr>
        <w:tc>
          <w:tcPr>
            <w:tcW w:w="435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江阴华西船务有限公司</w:t>
            </w:r>
          </w:p>
        </w:tc>
        <w:tc>
          <w:tcPr>
            <w:tcW w:w="2580"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4,575,400.74</w:t>
            </w:r>
          </w:p>
        </w:tc>
        <w:tc>
          <w:tcPr>
            <w:tcW w:w="2631"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5,056,377.95</w:t>
            </w:r>
          </w:p>
        </w:tc>
      </w:tr>
      <w:tr w:rsidR="004A3B7E" w:rsidTr="00240BDB">
        <w:trPr>
          <w:divId w:val="1079181587"/>
          <w:trHeight w:val="360"/>
          <w:jc w:val="center"/>
        </w:trPr>
        <w:tc>
          <w:tcPr>
            <w:tcW w:w="435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投资账面价值合计</w:t>
            </w:r>
          </w:p>
        </w:tc>
        <w:tc>
          <w:tcPr>
            <w:tcW w:w="2580"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17,901,865.95</w:t>
            </w:r>
          </w:p>
        </w:tc>
        <w:tc>
          <w:tcPr>
            <w:tcW w:w="2631"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18,602,182.03</w:t>
            </w:r>
          </w:p>
        </w:tc>
      </w:tr>
      <w:tr w:rsidR="004A3B7E" w:rsidTr="00240BDB">
        <w:trPr>
          <w:divId w:val="1079181587"/>
          <w:trHeight w:val="360"/>
          <w:jc w:val="center"/>
        </w:trPr>
        <w:tc>
          <w:tcPr>
            <w:tcW w:w="435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下列各项按持股比例计算的合计数</w:t>
            </w:r>
          </w:p>
        </w:tc>
        <w:tc>
          <w:tcPr>
            <w:tcW w:w="2580"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c>
          <w:tcPr>
            <w:tcW w:w="2631"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r>
      <w:tr w:rsidR="004A3B7E" w:rsidTr="00240BDB">
        <w:trPr>
          <w:divId w:val="1079181587"/>
          <w:trHeight w:val="360"/>
          <w:jc w:val="center"/>
        </w:trPr>
        <w:tc>
          <w:tcPr>
            <w:tcW w:w="435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—净利润</w:t>
            </w:r>
          </w:p>
        </w:tc>
        <w:tc>
          <w:tcPr>
            <w:tcW w:w="2580"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19,683.92</w:t>
            </w:r>
          </w:p>
        </w:tc>
        <w:tc>
          <w:tcPr>
            <w:tcW w:w="2631"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-163,597.54</w:t>
            </w:r>
          </w:p>
        </w:tc>
      </w:tr>
      <w:tr w:rsidR="004A3B7E" w:rsidTr="00240BDB">
        <w:trPr>
          <w:divId w:val="1079181587"/>
          <w:trHeight w:val="360"/>
          <w:jc w:val="center"/>
        </w:trPr>
        <w:tc>
          <w:tcPr>
            <w:tcW w:w="435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—其他综合收益</w:t>
            </w:r>
          </w:p>
        </w:tc>
        <w:tc>
          <w:tcPr>
            <w:tcW w:w="2580"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c>
          <w:tcPr>
            <w:tcW w:w="2631"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r>
      <w:tr w:rsidR="004A3B7E" w:rsidTr="00240BDB">
        <w:trPr>
          <w:divId w:val="1079181587"/>
          <w:trHeight w:val="360"/>
          <w:jc w:val="center"/>
        </w:trPr>
        <w:tc>
          <w:tcPr>
            <w:tcW w:w="435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—综合收益总额</w:t>
            </w:r>
          </w:p>
        </w:tc>
        <w:tc>
          <w:tcPr>
            <w:tcW w:w="2580"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19,683.92</w:t>
            </w:r>
          </w:p>
        </w:tc>
        <w:tc>
          <w:tcPr>
            <w:tcW w:w="2631"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-163,597.54</w:t>
            </w:r>
          </w:p>
        </w:tc>
      </w:tr>
    </w:tbl>
    <w:p w:rsidR="00BD1BB9" w:rsidRDefault="00452DEF">
      <w:pPr>
        <w:pStyle w:val="2"/>
        <w:spacing w:before="300" w:after="300" w:line="320" w:lineRule="exact"/>
        <w:rPr>
          <w:rFonts w:ascii="宋体" w:eastAsia="宋体" w:hAnsi="宋体" w:cs="宋体"/>
          <w:b/>
          <w:bCs/>
          <w:sz w:val="24"/>
          <w:szCs w:val="24"/>
        </w:rPr>
      </w:pPr>
      <w:bookmarkStart w:id="296" w:name="_Toc989163"/>
      <w:r>
        <w:rPr>
          <w:rFonts w:ascii="宋体" w:eastAsia="宋体" w:hAnsi="宋体" w:cs="宋体"/>
          <w:b/>
          <w:bCs/>
          <w:sz w:val="24"/>
          <w:szCs w:val="24"/>
        </w:rPr>
        <w:t>十一、政府补助</w:t>
      </w:r>
      <w:bookmarkEnd w:id="296"/>
    </w:p>
    <w:p w:rsidR="00BD1BB9" w:rsidRDefault="00452DEF">
      <w:pPr>
        <w:pStyle w:val="3"/>
        <w:spacing w:line="280" w:lineRule="exact"/>
        <w:jc w:val="left"/>
        <w:rPr>
          <w:rFonts w:ascii="宋体" w:hAnsi="宋体" w:cs="宋体"/>
          <w:b/>
          <w:bCs/>
        </w:rPr>
      </w:pPr>
      <w:bookmarkStart w:id="297" w:name="_Toc989164"/>
      <w:r>
        <w:rPr>
          <w:rFonts w:ascii="宋体" w:hAnsi="宋体" w:cs="宋体"/>
          <w:b/>
          <w:bCs/>
        </w:rPr>
        <w:t>1、涉及政府补助的负债项目</w:t>
      </w:r>
      <w:bookmarkEnd w:id="297"/>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BD1BB9" w:rsidTr="00240BDB">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会计科目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本期新增补助金额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本期计入营业外收入金额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本期转入其他收益金额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本期其他变动</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与资产/收益相关</w:t>
            </w:r>
          </w:p>
        </w:tc>
      </w:tr>
      <w:tr w:rsidR="00BD1BB9" w:rsidTr="00240BDB">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递延收益</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3,752,000.00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234,500.00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3,517,500.00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与资产相关</w:t>
            </w:r>
          </w:p>
        </w:tc>
      </w:tr>
      <w:tr w:rsidR="00BD1BB9" w:rsidTr="00240BDB">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合  计</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3,752,000.00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234,500.00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3,517,500.00</w:t>
            </w:r>
          </w:p>
        </w:tc>
        <w:tc>
          <w:tcPr>
            <w:tcW w:w="1205"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bl>
    <w:p w:rsidR="00240BDB" w:rsidRDefault="00240BDB" w:rsidP="00240BDB">
      <w:pPr>
        <w:pStyle w:val="a3"/>
        <w:spacing w:before="0" w:beforeAutospacing="0" w:after="0" w:afterAutospacing="0" w:line="400" w:lineRule="atLeast"/>
        <w:ind w:right="359" w:firstLine="360"/>
        <w:jc w:val="both"/>
        <w:rPr>
          <w:rFonts w:ascii="Times New Roman" w:hAnsi="Times New Roman" w:cs="Times New Roman"/>
          <w:sz w:val="21"/>
          <w:szCs w:val="21"/>
        </w:rPr>
      </w:pPr>
      <w:bookmarkStart w:id="298" w:name="_Toc989165"/>
      <w:r>
        <w:rPr>
          <w:rFonts w:cs="Times New Roman" w:hint="eastAsia"/>
          <w:sz w:val="18"/>
          <w:szCs w:val="18"/>
        </w:rPr>
        <w:t>其中，政府补助明细详见下表：</w:t>
      </w:r>
    </w:p>
    <w:tbl>
      <w:tblPr>
        <w:tblW w:w="9528" w:type="dxa"/>
        <w:tblCellMar>
          <w:left w:w="0" w:type="dxa"/>
          <w:right w:w="0" w:type="dxa"/>
        </w:tblCellMar>
        <w:tblLook w:val="04A0" w:firstRow="1" w:lastRow="0" w:firstColumn="1" w:lastColumn="0" w:noHBand="0" w:noVBand="1"/>
      </w:tblPr>
      <w:tblGrid>
        <w:gridCol w:w="1023"/>
        <w:gridCol w:w="1530"/>
        <w:gridCol w:w="992"/>
        <w:gridCol w:w="1419"/>
        <w:gridCol w:w="1277"/>
        <w:gridCol w:w="567"/>
        <w:gridCol w:w="1418"/>
        <w:gridCol w:w="1302"/>
      </w:tblGrid>
      <w:tr w:rsidR="00240BDB" w:rsidTr="00E064EB">
        <w:trPr>
          <w:trHeight w:val="830"/>
          <w:tblHeader/>
        </w:trPr>
        <w:tc>
          <w:tcPr>
            <w:tcW w:w="1023"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补助项目</w:t>
            </w:r>
          </w:p>
        </w:tc>
        <w:tc>
          <w:tcPr>
            <w:tcW w:w="1530"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期初余额</w:t>
            </w:r>
          </w:p>
        </w:tc>
        <w:tc>
          <w:tcPr>
            <w:tcW w:w="992"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本期新增补助金额</w:t>
            </w:r>
          </w:p>
        </w:tc>
        <w:tc>
          <w:tcPr>
            <w:tcW w:w="1419" w:type="dxa"/>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240BDB" w:rsidRDefault="00240BDB" w:rsidP="00612F73">
            <w:pPr>
              <w:pStyle w:val="a3"/>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本期计入营业外收入金额</w:t>
            </w:r>
          </w:p>
        </w:tc>
        <w:tc>
          <w:tcPr>
            <w:tcW w:w="1277" w:type="dxa"/>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240BDB" w:rsidRDefault="00240BDB" w:rsidP="00612F73">
            <w:pPr>
              <w:pStyle w:val="a3"/>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本期计入其他收益金额</w:t>
            </w:r>
          </w:p>
        </w:tc>
        <w:tc>
          <w:tcPr>
            <w:tcW w:w="567"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其他变动</w:t>
            </w:r>
          </w:p>
        </w:tc>
        <w:tc>
          <w:tcPr>
            <w:tcW w:w="1418"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期末余额</w:t>
            </w:r>
          </w:p>
        </w:tc>
        <w:tc>
          <w:tcPr>
            <w:tcW w:w="1302"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与资产/收益相关</w:t>
            </w:r>
          </w:p>
        </w:tc>
      </w:tr>
      <w:tr w:rsidR="00240BDB" w:rsidTr="00E064EB">
        <w:tc>
          <w:tcPr>
            <w:tcW w:w="102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240BDB" w:rsidRDefault="00240BDB" w:rsidP="00E064EB">
            <w:pPr>
              <w:pStyle w:val="a3"/>
              <w:spacing w:before="0" w:beforeAutospacing="0" w:after="0" w:afterAutospacing="0" w:line="400" w:lineRule="atLeast"/>
              <w:textAlignment w:val="baseline"/>
              <w:rPr>
                <w:rFonts w:ascii="Times New Roman" w:hAnsi="Times New Roman" w:cs="Times New Roman"/>
                <w:sz w:val="21"/>
                <w:szCs w:val="21"/>
              </w:rPr>
            </w:pPr>
            <w:r>
              <w:rPr>
                <w:rFonts w:cs="Times New Roman" w:hint="eastAsia"/>
                <w:sz w:val="18"/>
                <w:szCs w:val="18"/>
              </w:rPr>
              <w:t>生态环境保护专款</w:t>
            </w:r>
          </w:p>
        </w:tc>
        <w:tc>
          <w:tcPr>
            <w:tcW w:w="1530"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3,752,000.00</w:t>
            </w:r>
          </w:p>
        </w:tc>
        <w:tc>
          <w:tcPr>
            <w:tcW w:w="992"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c>
          <w:tcPr>
            <w:tcW w:w="1419"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c>
          <w:tcPr>
            <w:tcW w:w="127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234,500.00</w:t>
            </w:r>
          </w:p>
        </w:tc>
        <w:tc>
          <w:tcPr>
            <w:tcW w:w="56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c>
          <w:tcPr>
            <w:tcW w:w="1418"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3,517,500.00</w:t>
            </w:r>
          </w:p>
        </w:tc>
        <w:tc>
          <w:tcPr>
            <w:tcW w:w="1302"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both"/>
              <w:textAlignment w:val="baseline"/>
              <w:rPr>
                <w:rFonts w:ascii="Times New Roman" w:hAnsi="Times New Roman" w:cs="Times New Roman"/>
                <w:sz w:val="21"/>
                <w:szCs w:val="21"/>
              </w:rPr>
            </w:pPr>
            <w:r>
              <w:rPr>
                <w:rFonts w:cs="Times New Roman" w:hint="eastAsia"/>
                <w:sz w:val="18"/>
                <w:szCs w:val="18"/>
              </w:rPr>
              <w:t>与资产相关</w:t>
            </w:r>
          </w:p>
        </w:tc>
      </w:tr>
      <w:tr w:rsidR="00240BDB" w:rsidTr="00E064EB">
        <w:trPr>
          <w:trHeight w:val="280"/>
        </w:trPr>
        <w:tc>
          <w:tcPr>
            <w:tcW w:w="102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合计</w:t>
            </w:r>
          </w:p>
        </w:tc>
        <w:tc>
          <w:tcPr>
            <w:tcW w:w="1530"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3,752,000.00</w:t>
            </w:r>
          </w:p>
        </w:tc>
        <w:tc>
          <w:tcPr>
            <w:tcW w:w="992"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c>
          <w:tcPr>
            <w:tcW w:w="1419"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c>
          <w:tcPr>
            <w:tcW w:w="127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234,500.00</w:t>
            </w:r>
          </w:p>
        </w:tc>
        <w:tc>
          <w:tcPr>
            <w:tcW w:w="56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c>
          <w:tcPr>
            <w:tcW w:w="1418"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240BDB" w:rsidRDefault="00240BDB" w:rsidP="00612F73">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3,517,500.00</w:t>
            </w:r>
          </w:p>
        </w:tc>
        <w:tc>
          <w:tcPr>
            <w:tcW w:w="1302" w:type="dxa"/>
            <w:tcBorders>
              <w:top w:val="nil"/>
              <w:left w:val="nil"/>
              <w:bottom w:val="single" w:sz="8" w:space="0" w:color="auto"/>
              <w:right w:val="single" w:sz="8" w:space="0" w:color="auto"/>
            </w:tcBorders>
            <w:tcMar>
              <w:top w:w="0" w:type="dxa"/>
              <w:left w:w="30" w:type="dxa"/>
              <w:bottom w:w="0" w:type="dxa"/>
              <w:right w:w="30" w:type="dxa"/>
            </w:tcMar>
            <w:hideMark/>
          </w:tcPr>
          <w:p w:rsidR="00240BDB" w:rsidRDefault="00240BDB" w:rsidP="00612F73">
            <w:pPr>
              <w:pStyle w:val="a3"/>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w:t>
            </w:r>
          </w:p>
        </w:tc>
      </w:tr>
    </w:tbl>
    <w:p w:rsidR="00BD1BB9" w:rsidRDefault="00452DEF">
      <w:pPr>
        <w:pStyle w:val="3"/>
        <w:spacing w:line="280" w:lineRule="exact"/>
        <w:jc w:val="left"/>
        <w:rPr>
          <w:rFonts w:ascii="宋体" w:hAnsi="宋体" w:cs="宋体"/>
          <w:b/>
          <w:bCs/>
        </w:rPr>
      </w:pPr>
      <w:r>
        <w:rPr>
          <w:rFonts w:ascii="宋体" w:hAnsi="宋体" w:cs="宋体"/>
          <w:b/>
          <w:bCs/>
        </w:rPr>
        <w:lastRenderedPageBreak/>
        <w:t>2、计入当期损益的政府补助</w:t>
      </w:r>
      <w:bookmarkEnd w:id="298"/>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合  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160,000.00</w:t>
            </w:r>
          </w:p>
        </w:tc>
      </w:tr>
    </w:tbl>
    <w:p w:rsidR="004A3B7E" w:rsidRDefault="00452DEF">
      <w:pPr>
        <w:pStyle w:val="a3"/>
        <w:spacing w:before="0" w:beforeAutospacing="0" w:after="0" w:afterAutospacing="0" w:line="400" w:lineRule="atLeast"/>
        <w:ind w:right="359" w:firstLine="360"/>
        <w:jc w:val="both"/>
        <w:divId w:val="398329176"/>
        <w:rPr>
          <w:rFonts w:ascii="Times New Roman" w:hAnsi="Times New Roman" w:cs="Times New Roman"/>
          <w:sz w:val="21"/>
          <w:szCs w:val="21"/>
        </w:rPr>
      </w:pPr>
      <w:r>
        <w:rPr>
          <w:rFonts w:cs="Times New Roman" w:hint="eastAsia"/>
          <w:sz w:val="18"/>
          <w:szCs w:val="18"/>
        </w:rPr>
        <w:t>其中，政府补助明细详见下表：</w:t>
      </w:r>
    </w:p>
    <w:tbl>
      <w:tblPr>
        <w:tblW w:w="9524" w:type="dxa"/>
        <w:jc w:val="center"/>
        <w:tblInd w:w="-760" w:type="dxa"/>
        <w:tblCellMar>
          <w:left w:w="0" w:type="dxa"/>
          <w:right w:w="0" w:type="dxa"/>
        </w:tblCellMar>
        <w:tblLook w:val="04A0" w:firstRow="1" w:lastRow="0" w:firstColumn="1" w:lastColumn="0" w:noHBand="0" w:noVBand="1"/>
      </w:tblPr>
      <w:tblGrid>
        <w:gridCol w:w="4197"/>
        <w:gridCol w:w="1559"/>
        <w:gridCol w:w="1559"/>
        <w:gridCol w:w="2209"/>
      </w:tblGrid>
      <w:tr w:rsidR="004A3B7E" w:rsidTr="00E900F8">
        <w:trPr>
          <w:divId w:val="398329176"/>
          <w:trHeight w:val="345"/>
          <w:tblHeader/>
          <w:jc w:val="center"/>
        </w:trPr>
        <w:tc>
          <w:tcPr>
            <w:tcW w:w="4197"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补助项目</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本期金额</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上年同期金额</w:t>
            </w:r>
          </w:p>
        </w:tc>
        <w:tc>
          <w:tcPr>
            <w:tcW w:w="22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与资产相关/与收益相关</w:t>
            </w:r>
          </w:p>
        </w:tc>
      </w:tr>
      <w:tr w:rsidR="004A3B7E" w:rsidTr="00E900F8">
        <w:trPr>
          <w:divId w:val="398329176"/>
          <w:trHeight w:val="345"/>
          <w:jc w:val="center"/>
        </w:trPr>
        <w:tc>
          <w:tcPr>
            <w:tcW w:w="4197"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节能专项资金</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80,000.00</w:t>
            </w:r>
          </w:p>
        </w:tc>
        <w:tc>
          <w:tcPr>
            <w:tcW w:w="220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与收益相关</w:t>
            </w:r>
          </w:p>
        </w:tc>
      </w:tr>
      <w:tr w:rsidR="004A3B7E" w:rsidTr="00E900F8">
        <w:trPr>
          <w:divId w:val="398329176"/>
          <w:trHeight w:val="345"/>
          <w:jc w:val="center"/>
        </w:trPr>
        <w:tc>
          <w:tcPr>
            <w:tcW w:w="4197"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高新技术企业奖励款</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80,000.00</w:t>
            </w:r>
          </w:p>
        </w:tc>
        <w:tc>
          <w:tcPr>
            <w:tcW w:w="2209"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与收益相关</w:t>
            </w:r>
          </w:p>
        </w:tc>
      </w:tr>
      <w:tr w:rsidR="004A3B7E" w:rsidTr="00E900F8">
        <w:trPr>
          <w:divId w:val="398329176"/>
          <w:trHeight w:val="345"/>
          <w:jc w:val="center"/>
        </w:trPr>
        <w:tc>
          <w:tcPr>
            <w:tcW w:w="4197"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扩岗补贴</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7,500.00</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 </w:t>
            </w:r>
          </w:p>
        </w:tc>
        <w:tc>
          <w:tcPr>
            <w:tcW w:w="2209"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与收益相关</w:t>
            </w:r>
          </w:p>
        </w:tc>
      </w:tr>
      <w:tr w:rsidR="004A3B7E" w:rsidTr="00E900F8">
        <w:trPr>
          <w:divId w:val="398329176"/>
          <w:trHeight w:val="345"/>
          <w:jc w:val="center"/>
        </w:trPr>
        <w:tc>
          <w:tcPr>
            <w:tcW w:w="4197"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  计</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7,500.00</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color w:val="000000"/>
                <w:sz w:val="18"/>
                <w:szCs w:val="18"/>
              </w:rPr>
              <w:t>160,000.00</w:t>
            </w:r>
          </w:p>
        </w:tc>
        <w:tc>
          <w:tcPr>
            <w:tcW w:w="220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w:t>
            </w:r>
          </w:p>
        </w:tc>
      </w:tr>
    </w:tbl>
    <w:p w:rsidR="00BD1BB9" w:rsidRDefault="00452DEF">
      <w:pPr>
        <w:pStyle w:val="2"/>
        <w:spacing w:before="300" w:after="300" w:line="320" w:lineRule="exact"/>
        <w:rPr>
          <w:rFonts w:ascii="宋体" w:eastAsia="宋体" w:hAnsi="宋体" w:cs="宋体"/>
          <w:b/>
          <w:bCs/>
          <w:sz w:val="24"/>
          <w:szCs w:val="24"/>
        </w:rPr>
      </w:pPr>
      <w:bookmarkStart w:id="299" w:name="_Toc989166"/>
      <w:r>
        <w:rPr>
          <w:rFonts w:ascii="宋体" w:eastAsia="宋体" w:hAnsi="宋体" w:cs="宋体"/>
          <w:b/>
          <w:bCs/>
          <w:sz w:val="24"/>
          <w:szCs w:val="24"/>
        </w:rPr>
        <w:t>十二、与金融工具相关的风险</w:t>
      </w:r>
      <w:bookmarkEnd w:id="299"/>
    </w:p>
    <w:p w:rsidR="00BD1BB9" w:rsidRDefault="00452DEF">
      <w:pPr>
        <w:pStyle w:val="3"/>
        <w:spacing w:line="280" w:lineRule="exact"/>
        <w:jc w:val="left"/>
        <w:rPr>
          <w:rFonts w:ascii="宋体" w:hAnsi="宋体" w:cs="宋体"/>
          <w:b/>
          <w:bCs/>
        </w:rPr>
      </w:pPr>
      <w:bookmarkStart w:id="300" w:name="_Toc989167"/>
      <w:r>
        <w:rPr>
          <w:rFonts w:ascii="宋体" w:hAnsi="宋体" w:cs="宋体"/>
          <w:b/>
          <w:bCs/>
        </w:rPr>
        <w:t>1、金融工具产生的各类风险</w:t>
      </w:r>
      <w:bookmarkEnd w:id="300"/>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本公司的主要金融工具包括股权投资、债权投资、借款、应收账款、应付账款等，各项金融工具的详细情况说明见本附注五相关项目。与这些金融工具有关的风险，以及本公司为降低这些风险所采取的风险管理政策如下所述。本公司管理层对这些风险敞口进行管理和监控以确保将上述风险控制在限定的范围之内。</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4A3B7E" w:rsidRDefault="00452DEF">
      <w:pPr>
        <w:pStyle w:val="a3"/>
        <w:spacing w:before="0" w:beforeAutospacing="0" w:after="0" w:afterAutospacing="0" w:line="400" w:lineRule="atLeast"/>
        <w:ind w:firstLine="361"/>
        <w:jc w:val="both"/>
        <w:divId w:val="1332024868"/>
        <w:rPr>
          <w:rFonts w:ascii="Times New Roman" w:hAnsi="Times New Roman" w:cs="Times New Roman"/>
          <w:sz w:val="21"/>
          <w:szCs w:val="21"/>
        </w:rPr>
      </w:pPr>
      <w:r>
        <w:rPr>
          <w:rStyle w:val="a4"/>
          <w:rFonts w:cs="Times New Roman" w:hint="eastAsia"/>
          <w:sz w:val="18"/>
          <w:szCs w:val="18"/>
        </w:rPr>
        <w:t>（一）风险管理目标和政策</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本公司从事风险管理的目标是在风险和收益之间取得适当的平衡，将风险对本公司经营业绩的负面影响降低到最低水平，使股东及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rsidR="004A3B7E" w:rsidRDefault="00452DEF">
      <w:pPr>
        <w:pStyle w:val="a3"/>
        <w:spacing w:before="0" w:beforeAutospacing="0" w:after="0" w:afterAutospacing="0" w:line="400" w:lineRule="atLeast"/>
        <w:ind w:firstLine="361"/>
        <w:jc w:val="both"/>
        <w:divId w:val="1332024868"/>
        <w:rPr>
          <w:rFonts w:ascii="Times New Roman" w:hAnsi="Times New Roman" w:cs="Times New Roman"/>
          <w:sz w:val="21"/>
          <w:szCs w:val="21"/>
        </w:rPr>
      </w:pPr>
      <w:r>
        <w:rPr>
          <w:rStyle w:val="a4"/>
          <w:rFonts w:cs="Times New Roman" w:hint="eastAsia"/>
          <w:sz w:val="18"/>
          <w:szCs w:val="18"/>
        </w:rPr>
        <w:t>1、市场风险</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（1）外汇风险</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外汇风险指因汇率变动产生损失的风险。本公司承受外汇风险主要与美元及欧元有关。于2025年6月30日，除下表所述资产或负债为美元及欧元余额外，本公司的资产及负债均为人民币余额。该等外币余额的资产和负债产生的外汇风险可能对本公司的经营业绩产生影响。</w:t>
      </w:r>
    </w:p>
    <w:tbl>
      <w:tblPr>
        <w:tblW w:w="4803" w:type="pct"/>
        <w:tblCellMar>
          <w:left w:w="0" w:type="dxa"/>
          <w:right w:w="0" w:type="dxa"/>
        </w:tblCellMar>
        <w:tblLook w:val="04A0" w:firstRow="1" w:lastRow="0" w:firstColumn="1" w:lastColumn="0" w:noHBand="0" w:noVBand="1"/>
      </w:tblPr>
      <w:tblGrid>
        <w:gridCol w:w="3184"/>
        <w:gridCol w:w="3031"/>
        <w:gridCol w:w="3250"/>
      </w:tblGrid>
      <w:tr w:rsidR="004A3B7E" w:rsidTr="008F15E7">
        <w:trPr>
          <w:divId w:val="1332024868"/>
          <w:trHeight w:val="206"/>
          <w:tblHeader/>
        </w:trPr>
        <w:tc>
          <w:tcPr>
            <w:tcW w:w="16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6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2025年6月30日</w:t>
            </w:r>
          </w:p>
        </w:tc>
        <w:tc>
          <w:tcPr>
            <w:tcW w:w="1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2024年12月31日</w:t>
            </w:r>
          </w:p>
        </w:tc>
      </w:tr>
      <w:tr w:rsidR="004A3B7E" w:rsidTr="008F15E7">
        <w:trPr>
          <w:divId w:val="1332024868"/>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货币资金</w:t>
            </w:r>
          </w:p>
        </w:tc>
        <w:tc>
          <w:tcPr>
            <w:tcW w:w="1601"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99,873,486.36</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53,194,290.61</w:t>
            </w:r>
          </w:p>
        </w:tc>
      </w:tr>
      <w:tr w:rsidR="004A3B7E" w:rsidTr="008F15E7">
        <w:trPr>
          <w:divId w:val="1332024868"/>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其中：美元</w:t>
            </w:r>
          </w:p>
        </w:tc>
        <w:tc>
          <w:tcPr>
            <w:tcW w:w="1601"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99,352,721.91</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52,946,182.35</w:t>
            </w:r>
          </w:p>
        </w:tc>
      </w:tr>
      <w:tr w:rsidR="004A3B7E" w:rsidTr="008F15E7">
        <w:trPr>
          <w:divId w:val="1332024868"/>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ind w:firstLine="540"/>
              <w:rPr>
                <w:rFonts w:ascii="Times New Roman" w:hAnsi="Times New Roman" w:cs="Times New Roman"/>
                <w:sz w:val="21"/>
                <w:szCs w:val="21"/>
              </w:rPr>
            </w:pPr>
            <w:r>
              <w:rPr>
                <w:rFonts w:cs="Times New Roman" w:hint="eastAsia"/>
                <w:sz w:val="18"/>
                <w:szCs w:val="18"/>
              </w:rPr>
              <w:lastRenderedPageBreak/>
              <w:t>欧元</w:t>
            </w:r>
          </w:p>
        </w:tc>
        <w:tc>
          <w:tcPr>
            <w:tcW w:w="1601"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520,764.45</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248,108.26</w:t>
            </w:r>
          </w:p>
        </w:tc>
      </w:tr>
      <w:tr w:rsidR="004A3B7E" w:rsidTr="008F15E7">
        <w:trPr>
          <w:divId w:val="1332024868"/>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应收账款</w:t>
            </w:r>
          </w:p>
        </w:tc>
        <w:tc>
          <w:tcPr>
            <w:tcW w:w="1601"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115,819,198.55</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102,861,653.52</w:t>
            </w:r>
          </w:p>
        </w:tc>
      </w:tr>
      <w:tr w:rsidR="004A3B7E" w:rsidTr="008F15E7">
        <w:trPr>
          <w:divId w:val="1332024868"/>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其中：美元</w:t>
            </w:r>
          </w:p>
        </w:tc>
        <w:tc>
          <w:tcPr>
            <w:tcW w:w="1601"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114,313,253.20</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102,861,653.52</w:t>
            </w:r>
          </w:p>
        </w:tc>
      </w:tr>
      <w:tr w:rsidR="004A3B7E" w:rsidTr="008F15E7">
        <w:trPr>
          <w:divId w:val="1332024868"/>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ind w:firstLine="540"/>
              <w:rPr>
                <w:rFonts w:ascii="Times New Roman" w:hAnsi="Times New Roman" w:cs="Times New Roman"/>
                <w:sz w:val="21"/>
                <w:szCs w:val="21"/>
              </w:rPr>
            </w:pPr>
            <w:r>
              <w:rPr>
                <w:rFonts w:cs="Times New Roman" w:hint="eastAsia"/>
                <w:sz w:val="18"/>
                <w:szCs w:val="18"/>
              </w:rPr>
              <w:t>欧元</w:t>
            </w:r>
          </w:p>
        </w:tc>
        <w:tc>
          <w:tcPr>
            <w:tcW w:w="1601"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1,505,945.35</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4A3B7E" w:rsidTr="008F15E7">
        <w:trPr>
          <w:divId w:val="1332024868"/>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应付账款</w:t>
            </w:r>
          </w:p>
        </w:tc>
        <w:tc>
          <w:tcPr>
            <w:tcW w:w="1601"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26,978,873.46</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87,963,871.17</w:t>
            </w:r>
          </w:p>
        </w:tc>
      </w:tr>
      <w:tr w:rsidR="004A3B7E" w:rsidTr="008F15E7">
        <w:trPr>
          <w:divId w:val="1332024868"/>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其中：美元</w:t>
            </w:r>
          </w:p>
        </w:tc>
        <w:tc>
          <w:tcPr>
            <w:tcW w:w="1601"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26,978,873.46</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87,812,606.11</w:t>
            </w:r>
          </w:p>
        </w:tc>
      </w:tr>
      <w:tr w:rsidR="004A3B7E" w:rsidTr="008F15E7">
        <w:trPr>
          <w:divId w:val="1332024868"/>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ind w:firstLine="540"/>
              <w:rPr>
                <w:rFonts w:ascii="Times New Roman" w:hAnsi="Times New Roman" w:cs="Times New Roman"/>
                <w:sz w:val="21"/>
                <w:szCs w:val="21"/>
              </w:rPr>
            </w:pPr>
            <w:r>
              <w:rPr>
                <w:rFonts w:cs="Times New Roman" w:hint="eastAsia"/>
                <w:sz w:val="18"/>
                <w:szCs w:val="18"/>
              </w:rPr>
              <w:t>欧元</w:t>
            </w:r>
          </w:p>
        </w:tc>
        <w:tc>
          <w:tcPr>
            <w:tcW w:w="1601"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151,265.06</w:t>
            </w:r>
          </w:p>
        </w:tc>
      </w:tr>
    </w:tbl>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外汇风险敏感性分析：</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外汇风险敏感性分析假设：所有境外经营净投资套期及现金流量套期均高度有效。在上述假设的基础上，在其他变量不变的情况下，汇率可能发生的合理变动对当期损益和股东权益的影响如下：</w:t>
      </w:r>
    </w:p>
    <w:tbl>
      <w:tblPr>
        <w:tblW w:w="4875" w:type="pct"/>
        <w:tblCellMar>
          <w:left w:w="0" w:type="dxa"/>
          <w:right w:w="0" w:type="dxa"/>
        </w:tblCellMar>
        <w:tblLook w:val="04A0" w:firstRow="1" w:lastRow="0" w:firstColumn="1" w:lastColumn="0" w:noHBand="0" w:noVBand="1"/>
      </w:tblPr>
      <w:tblGrid>
        <w:gridCol w:w="2017"/>
        <w:gridCol w:w="1708"/>
        <w:gridCol w:w="2175"/>
        <w:gridCol w:w="1795"/>
        <w:gridCol w:w="1912"/>
      </w:tblGrid>
      <w:tr w:rsidR="004A3B7E" w:rsidTr="00240BDB">
        <w:trPr>
          <w:divId w:val="1332024868"/>
          <w:tblHeader/>
        </w:trPr>
        <w:tc>
          <w:tcPr>
            <w:tcW w:w="10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汇率变动</w:t>
            </w:r>
          </w:p>
        </w:tc>
        <w:tc>
          <w:tcPr>
            <w:tcW w:w="202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w:t>
            </w:r>
          </w:p>
        </w:tc>
        <w:tc>
          <w:tcPr>
            <w:tcW w:w="193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上年同期</w:t>
            </w:r>
          </w:p>
        </w:tc>
      </w:tr>
      <w:tr w:rsidR="004A3B7E" w:rsidTr="00240BDB">
        <w:trPr>
          <w:divId w:val="1332024868"/>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3B7E" w:rsidRDefault="004A3B7E">
            <w:pPr>
              <w:rPr>
                <w:rFonts w:ascii="Times New Roman" w:eastAsia="宋体" w:hAnsi="Times New Roman" w:cs="Times New Roman"/>
                <w:szCs w:val="21"/>
              </w:rPr>
            </w:pPr>
          </w:p>
        </w:tc>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对利润的影响</w:t>
            </w:r>
          </w:p>
        </w:tc>
        <w:tc>
          <w:tcPr>
            <w:tcW w:w="11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对股东权益的影响</w:t>
            </w:r>
          </w:p>
        </w:tc>
        <w:tc>
          <w:tcPr>
            <w:tcW w:w="9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对利润的影响</w:t>
            </w: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对股东权益的影响</w:t>
            </w:r>
          </w:p>
        </w:tc>
      </w:tr>
      <w:tr w:rsidR="004A3B7E" w:rsidTr="00240BDB">
        <w:trPr>
          <w:divId w:val="1332024868"/>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对人民币升值1%</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xml:space="preserve"> 1,415,353.59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xml:space="preserve"> 1,415,353.59 </w:t>
            </w:r>
          </w:p>
        </w:tc>
        <w:tc>
          <w:tcPr>
            <w:tcW w:w="9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975,498.38</w:t>
            </w: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975,498.38</w:t>
            </w:r>
          </w:p>
        </w:tc>
      </w:tr>
      <w:tr w:rsidR="004A3B7E" w:rsidTr="00240BDB">
        <w:trPr>
          <w:divId w:val="1332024868"/>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对人民币贬值1%</w:t>
            </w:r>
          </w:p>
        </w:tc>
        <w:tc>
          <w:tcPr>
            <w:tcW w:w="8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-1,415,353.59</w:t>
            </w:r>
          </w:p>
        </w:tc>
        <w:tc>
          <w:tcPr>
            <w:tcW w:w="11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-1,415,353.59</w:t>
            </w:r>
          </w:p>
        </w:tc>
        <w:tc>
          <w:tcPr>
            <w:tcW w:w="9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-975,498.38</w:t>
            </w: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-975,498.38</w:t>
            </w:r>
          </w:p>
        </w:tc>
      </w:tr>
    </w:tbl>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（2）利率风险－现金流量变动风险</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利率风险，是指金融工具的公允价值或未来现金流量因市场利率变动而发生波动的风险。利率风险可源于已确认的计息金融工具和未确认的金融工具（如某些货款承诺）。</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本公司的利率风险主要产生于银行借款。浮动利率的金融负债使本公司面临现金流量利率风险，固定利率的金融负债使本公司面临公允价值利率风险。本公司根据当时的市场环境来决定固定利率及浮动利率合同的相对比例，并通过定期审阅与监察维持适当的固定和浮动利率工具组合。</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本公司密切关注利率变动对本公司利率风险的影响。本公司目前并未采取利率对冲政策。但管理层负责监控利率风险，并将于需要时考虑对冲重大利率风险。由于定期存款为短期存款，故银行存款的公允价值利率风险并不重大。</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（3）其他价格风险</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本公司持有的分类为以公允价值计量且其变动计入当期损益、以公允价值计量且其变动计入其他综合收益的金融资产的投资在资产负债表日以公允价值计量。因此，本公司承担着证券市场变动的风险。本公司采取持有多种权益证券组合的方式降低权益证券投资的价格风险。</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其他价格风险敏感性分析：</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于2025年6月30日，如上述公允价值的交易性金融资产中理财产品、货币基金利率上升/下降50个基点；以公允价值计价的交易性金融资产中权益工具投资、以公允价值计价的债权投资、以公允价值计价的其他非流动金融资产的价格升高/降低10%，则公司的归属于母公司股东权益的增减变动情况如下：</w:t>
      </w:r>
    </w:p>
    <w:tbl>
      <w:tblPr>
        <w:tblW w:w="9464" w:type="dxa"/>
        <w:tblCellMar>
          <w:left w:w="0" w:type="dxa"/>
          <w:right w:w="0" w:type="dxa"/>
        </w:tblCellMar>
        <w:tblLook w:val="04A0" w:firstRow="1" w:lastRow="0" w:firstColumn="1" w:lastColumn="0" w:noHBand="0" w:noVBand="1"/>
      </w:tblPr>
      <w:tblGrid>
        <w:gridCol w:w="4967"/>
        <w:gridCol w:w="2071"/>
        <w:gridCol w:w="2426"/>
      </w:tblGrid>
      <w:tr w:rsidR="004A3B7E" w:rsidTr="00240BDB">
        <w:trPr>
          <w:divId w:val="1332024868"/>
          <w:trHeight w:val="330"/>
          <w:tblHeader/>
        </w:trPr>
        <w:tc>
          <w:tcPr>
            <w:tcW w:w="4967"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金融资产</w:t>
            </w:r>
          </w:p>
        </w:tc>
        <w:tc>
          <w:tcPr>
            <w:tcW w:w="20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价格升高</w:t>
            </w:r>
          </w:p>
        </w:tc>
        <w:tc>
          <w:tcPr>
            <w:tcW w:w="24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价格降低</w:t>
            </w:r>
          </w:p>
        </w:tc>
      </w:tr>
      <w:tr w:rsidR="004A3B7E" w:rsidTr="00240BDB">
        <w:trPr>
          <w:divId w:val="1332024868"/>
          <w:trHeight w:val="33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3B7E" w:rsidRDefault="004A3B7E">
            <w:pPr>
              <w:rPr>
                <w:rFonts w:ascii="Times New Roman" w:eastAsia="宋体" w:hAnsi="Times New Roman" w:cs="Times New Roman"/>
                <w:szCs w:val="21"/>
              </w:rPr>
            </w:pPr>
          </w:p>
        </w:tc>
        <w:tc>
          <w:tcPr>
            <w:tcW w:w="20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归母股东权益增加</w:t>
            </w:r>
          </w:p>
        </w:tc>
        <w:tc>
          <w:tcPr>
            <w:tcW w:w="24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归母股东权益减少</w:t>
            </w:r>
          </w:p>
        </w:tc>
      </w:tr>
      <w:tr w:rsidR="004A3B7E" w:rsidTr="00240BDB">
        <w:trPr>
          <w:divId w:val="1332024868"/>
          <w:trHeight w:val="330"/>
        </w:trPr>
        <w:tc>
          <w:tcPr>
            <w:tcW w:w="49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以公允价值计量且其变动计入当期损益的金融资产</w:t>
            </w:r>
          </w:p>
        </w:tc>
        <w:tc>
          <w:tcPr>
            <w:tcW w:w="20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18,016,414.11</w:t>
            </w:r>
          </w:p>
        </w:tc>
        <w:tc>
          <w:tcPr>
            <w:tcW w:w="24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-18,016,414.11</w:t>
            </w:r>
          </w:p>
        </w:tc>
      </w:tr>
      <w:tr w:rsidR="004A3B7E" w:rsidTr="00240BDB">
        <w:trPr>
          <w:divId w:val="1332024868"/>
          <w:trHeight w:val="330"/>
        </w:trPr>
        <w:tc>
          <w:tcPr>
            <w:tcW w:w="49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lastRenderedPageBreak/>
              <w:t>以公允价值计量的其他非流动金融资产</w:t>
            </w:r>
          </w:p>
        </w:tc>
        <w:tc>
          <w:tcPr>
            <w:tcW w:w="20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63,146,277.68</w:t>
            </w:r>
          </w:p>
        </w:tc>
        <w:tc>
          <w:tcPr>
            <w:tcW w:w="24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-63,146,277.68</w:t>
            </w:r>
          </w:p>
        </w:tc>
      </w:tr>
    </w:tbl>
    <w:p w:rsidR="004A3B7E" w:rsidRDefault="00452DEF">
      <w:pPr>
        <w:pStyle w:val="a3"/>
        <w:spacing w:before="0" w:beforeAutospacing="0" w:after="0" w:afterAutospacing="0" w:line="400" w:lineRule="atLeast"/>
        <w:ind w:firstLine="361"/>
        <w:jc w:val="both"/>
        <w:divId w:val="1332024868"/>
        <w:rPr>
          <w:rFonts w:ascii="Times New Roman" w:hAnsi="Times New Roman" w:cs="Times New Roman"/>
          <w:sz w:val="21"/>
          <w:szCs w:val="21"/>
        </w:rPr>
      </w:pPr>
      <w:r>
        <w:rPr>
          <w:rStyle w:val="a4"/>
          <w:rFonts w:cs="Times New Roman" w:hint="eastAsia"/>
          <w:sz w:val="18"/>
          <w:szCs w:val="18"/>
        </w:rPr>
        <w:t>2、信用风险</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2025年6月30日，可能引起本公司财务损失的最大信用风险敞口主要来自于合同另一方未能履行义务而导致本公司金融资产产生的损失以及本公司承担的财务担保，具体包括：合并资产负债表中已确认的金融资产的账面金额；对于以公允价值计量的金融工具而言，账面价值反映了其风险敞口，但并非最大风险敞口，其最大风险敞口将随着未来公允价值的变化而改变。</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为降低信用风险，本公司成立了一个小组负责确定信用额度、进行信用审批，并执行其他监控程序以确保采取必要的措施回收过期债权。此外，本公司于每个资产负债表日审核每一单项应收款的回收情况，以确保就无法回收的款项计提充分的坏账准备。因此，本公司管理层认为本公司所承担的信用风险已经大为降低。</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本公司的流动资金存放在信用评级较高的银行，故流动资金的信用风险较低。</w:t>
      </w:r>
    </w:p>
    <w:p w:rsidR="004A3B7E" w:rsidRDefault="00452DEF">
      <w:pPr>
        <w:pStyle w:val="a3"/>
        <w:spacing w:before="0" w:beforeAutospacing="0" w:after="0" w:afterAutospacing="0" w:line="400" w:lineRule="atLeast"/>
        <w:ind w:firstLine="361"/>
        <w:jc w:val="both"/>
        <w:divId w:val="1332024868"/>
        <w:rPr>
          <w:rFonts w:ascii="Times New Roman" w:hAnsi="Times New Roman" w:cs="Times New Roman"/>
          <w:sz w:val="21"/>
          <w:szCs w:val="21"/>
        </w:rPr>
      </w:pPr>
      <w:r>
        <w:rPr>
          <w:rStyle w:val="a4"/>
          <w:rFonts w:cs="Times New Roman" w:hint="eastAsia"/>
          <w:sz w:val="18"/>
          <w:szCs w:val="18"/>
        </w:rPr>
        <w:t>3、流动风险</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管理流动风险时，本公司保持管理层认为充分的现金及现金等价物并对其进行监控，以满足本公司经营需要，并降低现金流量波动的影响。本公司管理层对银行借款的使用情况进行监控并确保遵守借款协议。</w:t>
      </w:r>
    </w:p>
    <w:p w:rsidR="004A3B7E" w:rsidRDefault="00452DEF">
      <w:pPr>
        <w:pStyle w:val="a3"/>
        <w:spacing w:before="0" w:beforeAutospacing="0" w:after="0" w:afterAutospacing="0" w:line="400" w:lineRule="atLeast"/>
        <w:ind w:firstLine="360"/>
        <w:jc w:val="both"/>
        <w:divId w:val="1332024868"/>
        <w:rPr>
          <w:rFonts w:ascii="Times New Roman" w:hAnsi="Times New Roman" w:cs="Times New Roman"/>
          <w:sz w:val="21"/>
          <w:szCs w:val="21"/>
        </w:rPr>
      </w:pPr>
      <w:r>
        <w:rPr>
          <w:rFonts w:cs="Times New Roman" w:hint="eastAsia"/>
          <w:sz w:val="18"/>
          <w:szCs w:val="18"/>
        </w:rPr>
        <w:t>于2025年6月30日，本公司持有的金融负债按未折现剩余合同义务的到期期限分析如下：</w:t>
      </w:r>
    </w:p>
    <w:tbl>
      <w:tblPr>
        <w:tblW w:w="4875" w:type="pct"/>
        <w:tblCellMar>
          <w:left w:w="0" w:type="dxa"/>
          <w:right w:w="0" w:type="dxa"/>
        </w:tblCellMar>
        <w:tblLook w:val="04A0" w:firstRow="1" w:lastRow="0" w:firstColumn="1" w:lastColumn="0" w:noHBand="0" w:noVBand="1"/>
      </w:tblPr>
      <w:tblGrid>
        <w:gridCol w:w="3391"/>
        <w:gridCol w:w="2333"/>
        <w:gridCol w:w="2123"/>
        <w:gridCol w:w="1760"/>
      </w:tblGrid>
      <w:tr w:rsidR="004A3B7E" w:rsidTr="00240BDB">
        <w:trPr>
          <w:divId w:val="1332024868"/>
          <w:tblHeader/>
        </w:trPr>
        <w:tc>
          <w:tcPr>
            <w:tcW w:w="17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2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1年以内</w:t>
            </w:r>
          </w:p>
        </w:tc>
        <w:tc>
          <w:tcPr>
            <w:tcW w:w="11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1-5年</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5年以上</w:t>
            </w:r>
          </w:p>
        </w:tc>
      </w:tr>
      <w:tr w:rsidR="004A3B7E" w:rsidTr="00240BDB">
        <w:trPr>
          <w:divId w:val="1332024868"/>
        </w:trPr>
        <w:tc>
          <w:tcPr>
            <w:tcW w:w="1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短期借款</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1,159,514,058.29</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4A3B7E" w:rsidTr="00240BDB">
        <w:trPr>
          <w:divId w:val="1332024868"/>
        </w:trPr>
        <w:tc>
          <w:tcPr>
            <w:tcW w:w="1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应付账款</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95,911,690.64</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4A3B7E" w:rsidTr="00240BDB">
        <w:trPr>
          <w:divId w:val="1332024868"/>
        </w:trPr>
        <w:tc>
          <w:tcPr>
            <w:tcW w:w="1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其他应付款</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597,900.54</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4A3B7E" w:rsidTr="00240BDB">
        <w:trPr>
          <w:divId w:val="1332024868"/>
        </w:trPr>
        <w:tc>
          <w:tcPr>
            <w:tcW w:w="1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其他流动负债</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51,421,349.23</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4A3B7E" w:rsidTr="00240BDB">
        <w:trPr>
          <w:divId w:val="1332024868"/>
        </w:trPr>
        <w:tc>
          <w:tcPr>
            <w:tcW w:w="1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一年内到期的非流动负债</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19,017,100.00</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bl>
    <w:p w:rsidR="00BD1BB9" w:rsidRDefault="00452DEF">
      <w:pPr>
        <w:pStyle w:val="2"/>
        <w:spacing w:before="300" w:after="300" w:line="320" w:lineRule="exact"/>
        <w:rPr>
          <w:rFonts w:ascii="宋体" w:eastAsia="宋体" w:hAnsi="宋体" w:cs="宋体"/>
          <w:b/>
          <w:bCs/>
          <w:sz w:val="24"/>
          <w:szCs w:val="24"/>
        </w:rPr>
      </w:pPr>
      <w:bookmarkStart w:id="301" w:name="_Toc989168"/>
      <w:r>
        <w:rPr>
          <w:rFonts w:ascii="宋体" w:eastAsia="宋体" w:hAnsi="宋体" w:cs="宋体"/>
          <w:b/>
          <w:bCs/>
          <w:sz w:val="24"/>
          <w:szCs w:val="24"/>
        </w:rPr>
        <w:t>十三、公允价值的披露</w:t>
      </w:r>
      <w:bookmarkEnd w:id="301"/>
    </w:p>
    <w:p w:rsidR="00BD1BB9" w:rsidRDefault="00452DEF">
      <w:pPr>
        <w:pStyle w:val="3"/>
        <w:spacing w:line="280" w:lineRule="exact"/>
        <w:jc w:val="left"/>
        <w:rPr>
          <w:rFonts w:ascii="宋体" w:hAnsi="宋体" w:cs="宋体"/>
          <w:b/>
          <w:bCs/>
        </w:rPr>
      </w:pPr>
      <w:bookmarkStart w:id="302" w:name="_Toc989169"/>
      <w:r>
        <w:rPr>
          <w:rFonts w:ascii="宋体" w:hAnsi="宋体" w:cs="宋体"/>
          <w:b/>
          <w:bCs/>
        </w:rPr>
        <w:t>1、以公允价值计量的资产和负债的期末公允价值</w:t>
      </w:r>
      <w:bookmarkEnd w:id="30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期末公允价值</w:t>
            </w:r>
          </w:p>
        </w:tc>
      </w:tr>
      <w:tr w:rsidR="00BD1BB9">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（一）交易性金融资产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240,218,854.85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240,218,854.85</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240,218,854.85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240,218,854.85</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（1）债务工具投资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227,968,000.00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227,968,000.00</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（3）衍生金融资产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（4）基金</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12,250,854.85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12,250,854.85</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2.指定以公允价值计量且其变动计入当期损益的金融资产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（二）其他债权投资</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（三）其他权益工具投资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（四）投资性房地产</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（五）生物资产</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（六）其他非流动金融资产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841,950,369.04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841,950,369.04</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（七）应收款项融资</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297,458,296.75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297,458,296.75</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240,218,854.85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297,458,296.75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841,950,369.04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1,379,627,520.64</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D1BB9" w:rsidRDefault="00452DEF">
      <w:pPr>
        <w:pStyle w:val="3"/>
        <w:spacing w:line="280" w:lineRule="exact"/>
        <w:jc w:val="left"/>
        <w:rPr>
          <w:rFonts w:ascii="宋体" w:hAnsi="宋体" w:cs="宋体"/>
          <w:b/>
          <w:bCs/>
        </w:rPr>
      </w:pPr>
      <w:bookmarkStart w:id="303" w:name="_Toc989170"/>
      <w:r>
        <w:rPr>
          <w:rFonts w:ascii="宋体" w:hAnsi="宋体" w:cs="宋体"/>
          <w:b/>
          <w:bCs/>
        </w:rPr>
        <w:t>2、持续和非持续第一层次公允价值计量项目市价的确定依据</w:t>
      </w:r>
      <w:bookmarkEnd w:id="303"/>
    </w:p>
    <w:p w:rsidR="004A3B7E" w:rsidRDefault="00452DEF">
      <w:pPr>
        <w:pStyle w:val="a3"/>
        <w:spacing w:before="0" w:beforeAutospacing="0" w:after="0" w:afterAutospacing="0" w:line="400" w:lineRule="atLeast"/>
        <w:ind w:firstLine="360"/>
        <w:jc w:val="both"/>
        <w:divId w:val="2115052628"/>
        <w:rPr>
          <w:rFonts w:ascii="Times New Roman" w:hAnsi="Times New Roman" w:cs="Times New Roman"/>
          <w:sz w:val="21"/>
          <w:szCs w:val="21"/>
        </w:rPr>
      </w:pPr>
      <w:r>
        <w:rPr>
          <w:rFonts w:cs="Times New Roman" w:hint="eastAsia"/>
          <w:sz w:val="18"/>
          <w:szCs w:val="18"/>
        </w:rPr>
        <w:t>第一层输入值是在计量日能够取得的相同资产或负债在活跃市场上未经调整的报价。</w:t>
      </w:r>
    </w:p>
    <w:p w:rsidR="00BD1BB9" w:rsidRDefault="00452DEF">
      <w:pPr>
        <w:pStyle w:val="3"/>
        <w:spacing w:line="280" w:lineRule="exact"/>
        <w:jc w:val="left"/>
        <w:rPr>
          <w:rFonts w:ascii="宋体" w:hAnsi="宋体" w:cs="宋体"/>
          <w:b/>
          <w:bCs/>
        </w:rPr>
      </w:pPr>
      <w:bookmarkStart w:id="304" w:name="_Toc989171"/>
      <w:r>
        <w:rPr>
          <w:rFonts w:ascii="宋体" w:hAnsi="宋体" w:cs="宋体"/>
          <w:b/>
          <w:bCs/>
        </w:rPr>
        <w:t>3、持续和非持续第二层次公允价值计量项目，采用的估值技术和重要参数的定性及定量信息</w:t>
      </w:r>
      <w:bookmarkEnd w:id="304"/>
    </w:p>
    <w:p w:rsidR="004A3B7E" w:rsidRDefault="00B74FF2">
      <w:pPr>
        <w:pStyle w:val="a3"/>
        <w:spacing w:before="0" w:beforeAutospacing="0" w:after="0" w:afterAutospacing="0" w:line="400" w:lineRule="atLeast"/>
        <w:ind w:firstLine="360"/>
        <w:jc w:val="both"/>
        <w:divId w:val="1761102656"/>
        <w:rPr>
          <w:rFonts w:ascii="Times New Roman" w:hAnsi="Times New Roman" w:cs="Times New Roman"/>
          <w:sz w:val="21"/>
          <w:szCs w:val="21"/>
        </w:rPr>
      </w:pPr>
      <w:r>
        <w:rPr>
          <w:rFonts w:cs="Times New Roman" w:hint="eastAsia"/>
          <w:sz w:val="18"/>
          <w:szCs w:val="18"/>
        </w:rPr>
        <w:t>第二层次输入值：除第一层次输入值外相关资产或负债直接或间</w:t>
      </w:r>
      <w:r w:rsidR="00452DEF">
        <w:rPr>
          <w:rFonts w:cs="Times New Roman" w:hint="eastAsia"/>
          <w:sz w:val="18"/>
          <w:szCs w:val="18"/>
        </w:rPr>
        <w:t>接可观察的输入值，期末公司持续和非持续第二层次公允价值计量项目主要为应收款项融资。</w:t>
      </w:r>
    </w:p>
    <w:tbl>
      <w:tblPr>
        <w:tblW w:w="4914" w:type="pct"/>
        <w:tblCellMar>
          <w:left w:w="0" w:type="dxa"/>
          <w:right w:w="0" w:type="dxa"/>
        </w:tblCellMar>
        <w:tblLook w:val="04A0" w:firstRow="1" w:lastRow="0" w:firstColumn="1" w:lastColumn="0" w:noHBand="0" w:noVBand="1"/>
      </w:tblPr>
      <w:tblGrid>
        <w:gridCol w:w="2760"/>
        <w:gridCol w:w="2509"/>
        <w:gridCol w:w="1896"/>
        <w:gridCol w:w="2361"/>
      </w:tblGrid>
      <w:tr w:rsidR="004A3B7E" w:rsidTr="00240BDB">
        <w:trPr>
          <w:divId w:val="1761102656"/>
          <w:trHeight w:val="345"/>
          <w:tblHeader/>
        </w:trPr>
        <w:tc>
          <w:tcPr>
            <w:tcW w:w="1449"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期末公允价值</w:t>
            </w:r>
          </w:p>
        </w:tc>
        <w:tc>
          <w:tcPr>
            <w:tcW w:w="99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估值技术</w:t>
            </w:r>
          </w:p>
        </w:tc>
        <w:tc>
          <w:tcPr>
            <w:tcW w:w="123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可间接观察输入值</w:t>
            </w:r>
          </w:p>
        </w:tc>
      </w:tr>
      <w:tr w:rsidR="004A3B7E" w:rsidTr="00240BDB">
        <w:trPr>
          <w:divId w:val="1761102656"/>
          <w:trHeight w:val="345"/>
        </w:trPr>
        <w:tc>
          <w:tcPr>
            <w:tcW w:w="1449"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应收款项融资</w:t>
            </w:r>
          </w:p>
        </w:tc>
        <w:tc>
          <w:tcPr>
            <w:tcW w:w="13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297,458,296.75</w:t>
            </w:r>
          </w:p>
        </w:tc>
        <w:tc>
          <w:tcPr>
            <w:tcW w:w="99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现金流量折现法</w:t>
            </w:r>
          </w:p>
        </w:tc>
        <w:tc>
          <w:tcPr>
            <w:tcW w:w="123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折现率（注）</w:t>
            </w:r>
          </w:p>
        </w:tc>
      </w:tr>
    </w:tbl>
    <w:p w:rsidR="004A3B7E" w:rsidRDefault="00452DEF">
      <w:pPr>
        <w:pStyle w:val="a3"/>
        <w:spacing w:before="0" w:beforeAutospacing="0" w:after="0" w:afterAutospacing="0" w:line="400" w:lineRule="atLeast"/>
        <w:ind w:firstLine="360"/>
        <w:jc w:val="both"/>
        <w:divId w:val="1761102656"/>
        <w:rPr>
          <w:rFonts w:ascii="Times New Roman" w:hAnsi="Times New Roman" w:cs="Times New Roman"/>
          <w:sz w:val="21"/>
          <w:szCs w:val="21"/>
        </w:rPr>
      </w:pPr>
      <w:r>
        <w:rPr>
          <w:rFonts w:cs="Times New Roman" w:hint="eastAsia"/>
          <w:sz w:val="18"/>
          <w:szCs w:val="18"/>
        </w:rPr>
        <w:t>注：应收款项融资为银行承兑汇票，期限较短且风险较低，票面金额与公允价值接近，采用票面金额作为公允价值。</w:t>
      </w:r>
    </w:p>
    <w:p w:rsidR="00BD1BB9" w:rsidRDefault="00452DEF">
      <w:pPr>
        <w:pStyle w:val="3"/>
        <w:spacing w:line="280" w:lineRule="exact"/>
        <w:jc w:val="left"/>
        <w:rPr>
          <w:rFonts w:ascii="宋体" w:hAnsi="宋体" w:cs="宋体"/>
          <w:b/>
          <w:bCs/>
        </w:rPr>
      </w:pPr>
      <w:bookmarkStart w:id="305" w:name="_Toc989172"/>
      <w:r>
        <w:rPr>
          <w:rFonts w:ascii="宋体" w:hAnsi="宋体" w:cs="宋体"/>
          <w:b/>
          <w:bCs/>
        </w:rPr>
        <w:t>4、持续和非持续第三层次公允价值计量项目，采用的估值技术和重要参数的定性及定量信息</w:t>
      </w:r>
      <w:bookmarkEnd w:id="305"/>
    </w:p>
    <w:p w:rsidR="004A3B7E" w:rsidRDefault="00452DEF">
      <w:pPr>
        <w:pStyle w:val="a3"/>
        <w:spacing w:before="0" w:beforeAutospacing="0" w:after="0" w:afterAutospacing="0" w:line="400" w:lineRule="atLeast"/>
        <w:ind w:firstLine="360"/>
        <w:jc w:val="both"/>
        <w:divId w:val="1355300201"/>
        <w:rPr>
          <w:rFonts w:ascii="Times New Roman" w:hAnsi="Times New Roman" w:cs="Times New Roman"/>
          <w:sz w:val="21"/>
          <w:szCs w:val="21"/>
        </w:rPr>
      </w:pPr>
      <w:r>
        <w:rPr>
          <w:rFonts w:cs="Times New Roman" w:hint="eastAsia"/>
          <w:sz w:val="18"/>
          <w:szCs w:val="18"/>
        </w:rPr>
        <w:t>本公司分类为第三层次公允价值计量项目主要为非上市公司权益工具投资，估值技术包括市场比较法、现金流量折现法。</w:t>
      </w:r>
    </w:p>
    <w:p w:rsidR="004A3B7E" w:rsidRDefault="00452DEF">
      <w:pPr>
        <w:pStyle w:val="a3"/>
        <w:spacing w:before="0" w:beforeAutospacing="0" w:after="0" w:afterAutospacing="0" w:line="400" w:lineRule="atLeast"/>
        <w:ind w:firstLine="360"/>
        <w:jc w:val="both"/>
        <w:divId w:val="1355300201"/>
        <w:rPr>
          <w:rFonts w:ascii="Times New Roman" w:hAnsi="Times New Roman" w:cs="Times New Roman"/>
          <w:sz w:val="21"/>
          <w:szCs w:val="21"/>
        </w:rPr>
      </w:pPr>
      <w:r>
        <w:rPr>
          <w:rFonts w:cs="Times New Roman" w:hint="eastAsia"/>
          <w:sz w:val="18"/>
          <w:szCs w:val="18"/>
        </w:rPr>
        <w:t>以下为第三层次公允价值计量项目的重要不可观察输入值概述：</w:t>
      </w:r>
    </w:p>
    <w:tbl>
      <w:tblPr>
        <w:tblW w:w="5000" w:type="pct"/>
        <w:tblCellMar>
          <w:left w:w="0" w:type="dxa"/>
          <w:right w:w="0" w:type="dxa"/>
        </w:tblCellMar>
        <w:tblLook w:val="04A0" w:firstRow="1" w:lastRow="0" w:firstColumn="1" w:lastColumn="0" w:noHBand="0" w:noVBand="1"/>
      </w:tblPr>
      <w:tblGrid>
        <w:gridCol w:w="2761"/>
        <w:gridCol w:w="1669"/>
        <w:gridCol w:w="3489"/>
        <w:gridCol w:w="1774"/>
      </w:tblGrid>
      <w:tr w:rsidR="004A3B7E">
        <w:trPr>
          <w:divId w:val="1355300201"/>
          <w:trHeight w:val="345"/>
          <w:tblHeader/>
        </w:trPr>
        <w:tc>
          <w:tcPr>
            <w:tcW w:w="142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86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期末公允价值</w:t>
            </w:r>
          </w:p>
        </w:tc>
        <w:tc>
          <w:tcPr>
            <w:tcW w:w="180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估值技术</w:t>
            </w:r>
          </w:p>
        </w:tc>
        <w:tc>
          <w:tcPr>
            <w:tcW w:w="91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不可观察输入值</w:t>
            </w:r>
          </w:p>
        </w:tc>
      </w:tr>
      <w:tr w:rsidR="004A3B7E">
        <w:trPr>
          <w:divId w:val="1355300201"/>
          <w:trHeight w:val="345"/>
        </w:trPr>
        <w:tc>
          <w:tcPr>
            <w:tcW w:w="142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其他非流动金融资产汇总</w:t>
            </w:r>
          </w:p>
        </w:tc>
        <w:tc>
          <w:tcPr>
            <w:tcW w:w="86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841,950,369.04</w:t>
            </w:r>
          </w:p>
        </w:tc>
        <w:tc>
          <w:tcPr>
            <w:tcW w:w="18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参照可比上市公司市净率、流动性系数计算</w:t>
            </w:r>
          </w:p>
        </w:tc>
        <w:tc>
          <w:tcPr>
            <w:tcW w:w="91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流动性折扣系数</w:t>
            </w:r>
          </w:p>
        </w:tc>
      </w:tr>
    </w:tbl>
    <w:p w:rsidR="004A3B7E" w:rsidRDefault="004A3B7E">
      <w:pPr>
        <w:divId w:val="1355300201"/>
        <w:rPr>
          <w:rFonts w:ascii="宋体" w:hAnsi="宋体" w:cs="宋体"/>
          <w:sz w:val="24"/>
          <w:szCs w:val="24"/>
        </w:rPr>
      </w:pPr>
    </w:p>
    <w:p w:rsidR="00BD1BB9" w:rsidRDefault="00452DEF">
      <w:pPr>
        <w:pStyle w:val="2"/>
        <w:spacing w:before="300" w:after="300" w:line="320" w:lineRule="exact"/>
        <w:rPr>
          <w:rFonts w:ascii="宋体" w:eastAsia="宋体" w:hAnsi="宋体" w:cs="宋体"/>
          <w:b/>
          <w:bCs/>
          <w:sz w:val="24"/>
          <w:szCs w:val="24"/>
        </w:rPr>
      </w:pPr>
      <w:bookmarkStart w:id="306" w:name="_Toc989173"/>
      <w:r>
        <w:rPr>
          <w:rFonts w:ascii="宋体" w:eastAsia="宋体" w:hAnsi="宋体" w:cs="宋体"/>
          <w:b/>
          <w:bCs/>
          <w:sz w:val="24"/>
          <w:szCs w:val="24"/>
        </w:rPr>
        <w:lastRenderedPageBreak/>
        <w:t>十四、关联方及关联交易</w:t>
      </w:r>
      <w:bookmarkEnd w:id="306"/>
    </w:p>
    <w:p w:rsidR="00BD1BB9" w:rsidRDefault="00452DEF">
      <w:pPr>
        <w:pStyle w:val="3"/>
        <w:spacing w:line="280" w:lineRule="exact"/>
        <w:jc w:val="left"/>
        <w:rPr>
          <w:rFonts w:ascii="宋体" w:hAnsi="宋体" w:cs="宋体"/>
          <w:b/>
          <w:bCs/>
        </w:rPr>
      </w:pPr>
      <w:bookmarkStart w:id="307" w:name="_Toc989174"/>
      <w:r>
        <w:rPr>
          <w:rFonts w:ascii="宋体" w:hAnsi="宋体" w:cs="宋体"/>
          <w:b/>
          <w:bCs/>
        </w:rPr>
        <w:t>1、本企业的母公司情况</w:t>
      </w:r>
      <w:bookmarkEnd w:id="307"/>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母公司对本企业的表决权比例</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生产销售</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900,000.00万元人民币</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29.34%</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本企业的母公司情况的说明</w:t>
      </w:r>
    </w:p>
    <w:p w:rsidR="004A3B7E" w:rsidRDefault="00452DEF">
      <w:pPr>
        <w:pStyle w:val="a3"/>
        <w:spacing w:before="0" w:beforeAutospacing="0" w:after="0" w:afterAutospacing="0" w:line="400" w:lineRule="atLeast"/>
        <w:ind w:firstLine="360"/>
        <w:jc w:val="both"/>
        <w:divId w:val="565804426"/>
        <w:rPr>
          <w:rFonts w:ascii="Times New Roman" w:hAnsi="Times New Roman" w:cs="Times New Roman"/>
          <w:sz w:val="21"/>
          <w:szCs w:val="21"/>
        </w:rPr>
      </w:pPr>
      <w:r>
        <w:rPr>
          <w:rFonts w:cs="Times New Roman" w:hint="eastAsia"/>
          <w:sz w:val="18"/>
          <w:szCs w:val="18"/>
        </w:rPr>
        <w:t>注：截至2025年6月30日，江苏华西集团有限公司累计持有本公司29.34%股份，持股数260,000,000股。</w:t>
      </w:r>
    </w:p>
    <w:p w:rsidR="004A3B7E" w:rsidRDefault="00452DEF">
      <w:pPr>
        <w:pStyle w:val="a3"/>
        <w:spacing w:before="0" w:beforeAutospacing="0" w:after="0" w:afterAutospacing="0" w:line="400" w:lineRule="atLeast"/>
        <w:ind w:firstLine="360"/>
        <w:jc w:val="both"/>
        <w:divId w:val="565804426"/>
        <w:rPr>
          <w:rFonts w:ascii="Times New Roman" w:hAnsi="Times New Roman" w:cs="Times New Roman"/>
          <w:sz w:val="21"/>
          <w:szCs w:val="21"/>
        </w:rPr>
      </w:pPr>
      <w:r>
        <w:rPr>
          <w:rFonts w:cs="Times New Roman" w:hint="eastAsia"/>
          <w:sz w:val="18"/>
          <w:szCs w:val="18"/>
        </w:rPr>
        <w:t>江苏华西集团有限公司持有华西股份股权质押情况：</w:t>
      </w:r>
    </w:p>
    <w:tbl>
      <w:tblPr>
        <w:tblW w:w="9400" w:type="dxa"/>
        <w:jc w:val="center"/>
        <w:tblInd w:w="-292" w:type="dxa"/>
        <w:tblCellMar>
          <w:left w:w="0" w:type="dxa"/>
          <w:right w:w="0" w:type="dxa"/>
        </w:tblCellMar>
        <w:tblLook w:val="04A0" w:firstRow="1" w:lastRow="0" w:firstColumn="1" w:lastColumn="0" w:noHBand="0" w:noVBand="1"/>
      </w:tblPr>
      <w:tblGrid>
        <w:gridCol w:w="2474"/>
        <w:gridCol w:w="1701"/>
        <w:gridCol w:w="1559"/>
        <w:gridCol w:w="1539"/>
        <w:gridCol w:w="2127"/>
      </w:tblGrid>
      <w:tr w:rsidR="004A3B7E" w:rsidTr="00F1775C">
        <w:trPr>
          <w:divId w:val="565804426"/>
          <w:trHeight w:val="360"/>
          <w:tblHeader/>
          <w:jc w:val="center"/>
        </w:trPr>
        <w:tc>
          <w:tcPr>
            <w:tcW w:w="247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股东名称</w:t>
            </w:r>
          </w:p>
        </w:tc>
        <w:tc>
          <w:tcPr>
            <w:tcW w:w="1701"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质押数量（股）</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质押起始日</w:t>
            </w:r>
          </w:p>
        </w:tc>
        <w:tc>
          <w:tcPr>
            <w:tcW w:w="1539"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质押到期日</w:t>
            </w:r>
          </w:p>
        </w:tc>
        <w:tc>
          <w:tcPr>
            <w:tcW w:w="212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质权人</w:t>
            </w:r>
          </w:p>
        </w:tc>
      </w:tr>
      <w:tr w:rsidR="004A3B7E" w:rsidTr="00F1775C">
        <w:trPr>
          <w:divId w:val="565804426"/>
          <w:trHeight w:val="360"/>
          <w:jc w:val="center"/>
        </w:trPr>
        <w:tc>
          <w:tcPr>
            <w:tcW w:w="247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江苏华西集团有限公司</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xml:space="preserve">82,400,000.00 </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2019/9/11</w:t>
            </w:r>
          </w:p>
        </w:tc>
        <w:tc>
          <w:tcPr>
            <w:tcW w:w="153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2025/9/5</w:t>
            </w:r>
          </w:p>
        </w:tc>
        <w:tc>
          <w:tcPr>
            <w:tcW w:w="2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w:t>
            </w:r>
          </w:p>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公司江阴支行</w:t>
            </w:r>
          </w:p>
        </w:tc>
      </w:tr>
      <w:tr w:rsidR="004A3B7E" w:rsidTr="00F1775C">
        <w:trPr>
          <w:divId w:val="565804426"/>
          <w:trHeight w:val="360"/>
          <w:jc w:val="center"/>
        </w:trPr>
        <w:tc>
          <w:tcPr>
            <w:tcW w:w="247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江苏华西集团有限公司</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xml:space="preserve">50,000,000.00 </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2021/9/8</w:t>
            </w:r>
          </w:p>
        </w:tc>
        <w:tc>
          <w:tcPr>
            <w:tcW w:w="153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2026/8/30</w:t>
            </w:r>
          </w:p>
        </w:tc>
        <w:tc>
          <w:tcPr>
            <w:tcW w:w="2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w:t>
            </w:r>
          </w:p>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公司江阴支行</w:t>
            </w:r>
          </w:p>
        </w:tc>
      </w:tr>
      <w:tr w:rsidR="004A3B7E" w:rsidTr="00F1775C">
        <w:trPr>
          <w:divId w:val="565804426"/>
          <w:trHeight w:val="360"/>
          <w:jc w:val="center"/>
        </w:trPr>
        <w:tc>
          <w:tcPr>
            <w:tcW w:w="247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江苏华西集团有限公司</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xml:space="preserve">40,000,000.00 </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2021/9/8</w:t>
            </w:r>
          </w:p>
        </w:tc>
        <w:tc>
          <w:tcPr>
            <w:tcW w:w="153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2026/8/30</w:t>
            </w:r>
          </w:p>
        </w:tc>
        <w:tc>
          <w:tcPr>
            <w:tcW w:w="2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w:t>
            </w:r>
          </w:p>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公司江阴支行</w:t>
            </w:r>
          </w:p>
        </w:tc>
      </w:tr>
      <w:tr w:rsidR="004A3B7E" w:rsidTr="00F1775C">
        <w:trPr>
          <w:divId w:val="565804426"/>
          <w:trHeight w:val="360"/>
          <w:jc w:val="center"/>
        </w:trPr>
        <w:tc>
          <w:tcPr>
            <w:tcW w:w="247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江苏华西集团有限公司</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xml:space="preserve">30,000,000.00 </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2021/9/8</w:t>
            </w:r>
          </w:p>
        </w:tc>
        <w:tc>
          <w:tcPr>
            <w:tcW w:w="153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2026/8/30</w:t>
            </w:r>
          </w:p>
        </w:tc>
        <w:tc>
          <w:tcPr>
            <w:tcW w:w="2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w:t>
            </w:r>
          </w:p>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公司江阴支行</w:t>
            </w:r>
          </w:p>
        </w:tc>
      </w:tr>
      <w:tr w:rsidR="004A3B7E" w:rsidTr="00F1775C">
        <w:trPr>
          <w:divId w:val="565804426"/>
          <w:trHeight w:val="360"/>
          <w:jc w:val="center"/>
        </w:trPr>
        <w:tc>
          <w:tcPr>
            <w:tcW w:w="247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江苏华西集团有限公司</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xml:space="preserve">40,000,000.00 </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2021/9/8</w:t>
            </w:r>
          </w:p>
        </w:tc>
        <w:tc>
          <w:tcPr>
            <w:tcW w:w="153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2026/8/30</w:t>
            </w:r>
          </w:p>
        </w:tc>
        <w:tc>
          <w:tcPr>
            <w:tcW w:w="2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w:t>
            </w:r>
          </w:p>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公司江阴支行</w:t>
            </w:r>
          </w:p>
        </w:tc>
      </w:tr>
      <w:tr w:rsidR="004A3B7E" w:rsidTr="00F1775C">
        <w:trPr>
          <w:divId w:val="565804426"/>
          <w:trHeight w:val="360"/>
          <w:jc w:val="center"/>
        </w:trPr>
        <w:tc>
          <w:tcPr>
            <w:tcW w:w="247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江苏华西集团有限公司</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17,600,000.00</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2023/8/10</w:t>
            </w:r>
          </w:p>
        </w:tc>
        <w:tc>
          <w:tcPr>
            <w:tcW w:w="153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 xml:space="preserve">2028/8/9 </w:t>
            </w:r>
          </w:p>
        </w:tc>
        <w:tc>
          <w:tcPr>
            <w:tcW w:w="2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w:t>
            </w:r>
          </w:p>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公司江阴支行</w:t>
            </w:r>
          </w:p>
        </w:tc>
      </w:tr>
      <w:tr w:rsidR="004A3B7E" w:rsidTr="00F1775C">
        <w:trPr>
          <w:divId w:val="565804426"/>
          <w:trHeight w:val="360"/>
          <w:jc w:val="center"/>
        </w:trPr>
        <w:tc>
          <w:tcPr>
            <w:tcW w:w="247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合计</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xml:space="preserve">260,000,000.00 </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 </w:t>
            </w:r>
          </w:p>
        </w:tc>
        <w:tc>
          <w:tcPr>
            <w:tcW w:w="153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 </w:t>
            </w:r>
          </w:p>
        </w:tc>
        <w:tc>
          <w:tcPr>
            <w:tcW w:w="2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 </w:t>
            </w:r>
          </w:p>
        </w:tc>
      </w:tr>
    </w:tbl>
    <w:p w:rsidR="004A3B7E" w:rsidRDefault="00452DEF">
      <w:pPr>
        <w:pStyle w:val="a3"/>
        <w:spacing w:before="0" w:beforeAutospacing="0" w:after="0" w:afterAutospacing="0" w:line="400" w:lineRule="atLeast"/>
        <w:ind w:firstLine="360"/>
        <w:jc w:val="both"/>
        <w:divId w:val="565804426"/>
        <w:rPr>
          <w:rFonts w:ascii="Times New Roman" w:hAnsi="Times New Roman" w:cs="Times New Roman"/>
          <w:sz w:val="21"/>
          <w:szCs w:val="21"/>
        </w:rPr>
      </w:pPr>
      <w:r>
        <w:rPr>
          <w:rFonts w:ascii="Times New Roman" w:hAnsi="Times New Roman" w:cs="Times New Roman"/>
          <w:sz w:val="21"/>
          <w:szCs w:val="21"/>
        </w:rPr>
        <w:t> </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本企业最终控制方是江阴市人民政府国有资产监督管理办公室。</w:t>
      </w:r>
    </w:p>
    <w:p w:rsidR="00BD1BB9" w:rsidRDefault="00452DEF">
      <w:pPr>
        <w:pStyle w:val="3"/>
        <w:spacing w:line="280" w:lineRule="exact"/>
        <w:jc w:val="left"/>
        <w:rPr>
          <w:rFonts w:ascii="宋体" w:hAnsi="宋体" w:cs="宋体"/>
          <w:b/>
          <w:bCs/>
        </w:rPr>
      </w:pPr>
      <w:bookmarkStart w:id="308" w:name="_Toc989175"/>
      <w:r>
        <w:rPr>
          <w:rFonts w:ascii="宋体" w:hAnsi="宋体" w:cs="宋体"/>
          <w:b/>
          <w:bCs/>
        </w:rPr>
        <w:t>2、本企业的子公司情况</w:t>
      </w:r>
      <w:bookmarkEnd w:id="308"/>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本企业子公司的情况详见附注十、1、</w:t>
      </w:r>
      <w:r w:rsidR="00E72382">
        <w:rPr>
          <w:rFonts w:ascii="宋体" w:eastAsia="宋体" w:hAnsi="宋体" w:cs="宋体"/>
          <w:sz w:val="18"/>
          <w:szCs w:val="18"/>
        </w:rPr>
        <w:t>在子公司中的权益</w:t>
      </w:r>
      <w:r>
        <w:rPr>
          <w:rFonts w:ascii="宋体" w:eastAsia="宋体" w:hAnsi="宋体" w:cs="宋体"/>
          <w:sz w:val="18"/>
          <w:szCs w:val="18"/>
        </w:rPr>
        <w:t>。</w:t>
      </w:r>
    </w:p>
    <w:p w:rsidR="00BD1BB9" w:rsidRDefault="00452DEF">
      <w:pPr>
        <w:pStyle w:val="3"/>
        <w:spacing w:line="280" w:lineRule="exact"/>
        <w:jc w:val="left"/>
        <w:rPr>
          <w:rFonts w:ascii="宋体" w:hAnsi="宋体" w:cs="宋体"/>
          <w:b/>
          <w:bCs/>
        </w:rPr>
      </w:pPr>
      <w:bookmarkStart w:id="309" w:name="_Toc989176"/>
      <w:r>
        <w:rPr>
          <w:rFonts w:ascii="宋体" w:hAnsi="宋体" w:cs="宋体"/>
          <w:b/>
          <w:bCs/>
        </w:rPr>
        <w:t>3、本企业合营和联营企业情况</w:t>
      </w:r>
      <w:bookmarkEnd w:id="309"/>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本企业重要的合营或联营企业详见附注十、2、在合营企业或联营企业中的权益。</w:t>
      </w:r>
    </w:p>
    <w:p w:rsidR="00BD1BB9" w:rsidRDefault="00452DEF">
      <w:pPr>
        <w:pStyle w:val="3"/>
        <w:spacing w:line="280" w:lineRule="exact"/>
        <w:jc w:val="left"/>
        <w:rPr>
          <w:rFonts w:ascii="宋体" w:hAnsi="宋体" w:cs="宋体"/>
          <w:b/>
          <w:bCs/>
        </w:rPr>
      </w:pPr>
      <w:bookmarkStart w:id="310" w:name="_Toc989177"/>
      <w:r>
        <w:rPr>
          <w:rFonts w:ascii="宋体" w:hAnsi="宋体" w:cs="宋体"/>
          <w:b/>
          <w:bCs/>
        </w:rPr>
        <w:t>4、其他关联方情况</w:t>
      </w:r>
      <w:bookmarkEnd w:id="310"/>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同一母公司</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基于实质重于形式认定为关联方</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lastRenderedPageBreak/>
              <w:t>江苏华西售电有限公司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基于实质重于形式认定为关联方</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江阴市华西纺织有限公司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基于实质重于形式认定为关联方</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江苏华西村海洋工程服务有限公司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本公司高管任职董事的企业</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本公司董事担任负责人的自治组织</w:t>
            </w:r>
          </w:p>
        </w:tc>
      </w:tr>
    </w:tbl>
    <w:p w:rsidR="00BD1BB9" w:rsidRDefault="00452DEF">
      <w:pPr>
        <w:pStyle w:val="3"/>
        <w:spacing w:line="280" w:lineRule="exact"/>
        <w:jc w:val="left"/>
        <w:rPr>
          <w:rFonts w:ascii="宋体" w:hAnsi="宋体" w:cs="宋体"/>
          <w:b/>
          <w:bCs/>
        </w:rPr>
      </w:pPr>
      <w:bookmarkStart w:id="311" w:name="_Toc989178"/>
      <w:r>
        <w:rPr>
          <w:rFonts w:ascii="宋体" w:hAnsi="宋体" w:cs="宋体"/>
          <w:b/>
          <w:bCs/>
        </w:rPr>
        <w:t>5、关联交易情况</w:t>
      </w:r>
      <w:bookmarkEnd w:id="311"/>
    </w:p>
    <w:p w:rsidR="00BD1BB9" w:rsidRDefault="00452DEF">
      <w:pPr>
        <w:keepNext/>
        <w:keepLines/>
        <w:spacing w:before="300" w:after="300" w:line="280" w:lineRule="exact"/>
        <w:outlineLvl w:val="3"/>
        <w:rPr>
          <w:rFonts w:ascii="宋体" w:eastAsia="宋体" w:hAnsi="宋体" w:cs="宋体"/>
          <w:b/>
          <w:bCs/>
          <w:szCs w:val="21"/>
        </w:rPr>
      </w:pPr>
      <w:bookmarkStart w:id="312" w:name="_Toc989179"/>
      <w:r>
        <w:rPr>
          <w:rFonts w:ascii="宋体" w:eastAsia="宋体" w:hAnsi="宋体" w:cs="宋体"/>
          <w:b/>
          <w:bCs/>
          <w:szCs w:val="21"/>
        </w:rPr>
        <w:t>（1） 购销商品、提供和接受劳务的关联交易</w:t>
      </w:r>
      <w:bookmarkEnd w:id="312"/>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采购商品/接受劳务情况表</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D1BB9" w:rsidTr="003A654C">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rsidTr="003A654C">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燃料动力</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27,886,387.76</w:t>
            </w:r>
          </w:p>
        </w:tc>
        <w:tc>
          <w:tcPr>
            <w:tcW w:w="16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607" w:type="dxa"/>
            <w:tcBorders>
              <w:top w:val="single" w:sz="2" w:space="0" w:color="auto"/>
              <w:left w:val="single" w:sz="2" w:space="0" w:color="auto"/>
              <w:bottom w:val="single" w:sz="2" w:space="0" w:color="auto"/>
              <w:right w:val="single" w:sz="2" w:space="0" w:color="auto"/>
            </w:tcBorders>
            <w:vAlign w:val="center"/>
          </w:tcPr>
          <w:p w:rsidR="00BD1BB9" w:rsidRDefault="00452DEF" w:rsidP="008F15E7">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20,017,278.88</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江苏华西售电有限公司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燃料动力</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24,938,667.65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rsidP="008F15E7">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21,374,625.67</w:t>
            </w:r>
          </w:p>
        </w:tc>
      </w:tr>
      <w:tr w:rsidR="003A654C" w:rsidTr="00814945">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A654C" w:rsidRDefault="003A654C">
            <w:pPr>
              <w:spacing w:line="240" w:lineRule="exact"/>
              <w:rPr>
                <w:rFonts w:ascii="宋体" w:eastAsia="宋体" w:hAnsi="宋体" w:cs="宋体"/>
                <w:sz w:val="18"/>
                <w:szCs w:val="18"/>
              </w:rPr>
            </w:pPr>
            <w:r>
              <w:rPr>
                <w:rFonts w:ascii="宋体" w:eastAsia="宋体" w:hAnsi="宋体" w:cs="宋体"/>
                <w:sz w:val="18"/>
                <w:szCs w:val="18"/>
              </w:rPr>
              <w:t>其他关联企业</w:t>
            </w:r>
          </w:p>
        </w:tc>
        <w:tc>
          <w:tcPr>
            <w:tcW w:w="1606" w:type="dxa"/>
            <w:tcBorders>
              <w:top w:val="single" w:sz="2" w:space="0" w:color="auto"/>
              <w:left w:val="single" w:sz="2" w:space="0" w:color="auto"/>
              <w:bottom w:val="single" w:sz="2" w:space="0" w:color="auto"/>
              <w:right w:val="single" w:sz="2" w:space="0" w:color="auto"/>
            </w:tcBorders>
            <w:vAlign w:val="center"/>
          </w:tcPr>
          <w:p w:rsidR="003A654C" w:rsidRDefault="003A654C">
            <w:pPr>
              <w:spacing w:line="240" w:lineRule="exact"/>
              <w:rPr>
                <w:rFonts w:ascii="宋体" w:eastAsia="宋体" w:hAnsi="宋体" w:cs="宋体"/>
                <w:sz w:val="18"/>
                <w:szCs w:val="18"/>
              </w:rPr>
            </w:pPr>
            <w:r>
              <w:rPr>
                <w:rFonts w:ascii="宋体" w:eastAsia="宋体" w:hAnsi="宋体" w:cs="宋体"/>
                <w:sz w:val="18"/>
                <w:szCs w:val="18"/>
              </w:rPr>
              <w:t>商品劳务</w:t>
            </w:r>
          </w:p>
        </w:tc>
        <w:tc>
          <w:tcPr>
            <w:tcW w:w="1606" w:type="dxa"/>
            <w:tcBorders>
              <w:top w:val="single" w:sz="2" w:space="0" w:color="auto"/>
              <w:left w:val="single" w:sz="2" w:space="0" w:color="auto"/>
              <w:bottom w:val="single" w:sz="2" w:space="0" w:color="auto"/>
              <w:right w:val="single" w:sz="2" w:space="0" w:color="auto"/>
            </w:tcBorders>
            <w:vAlign w:val="center"/>
          </w:tcPr>
          <w:p w:rsidR="003A654C" w:rsidRDefault="003A654C">
            <w:pPr>
              <w:spacing w:line="240" w:lineRule="exact"/>
              <w:jc w:val="right"/>
              <w:rPr>
                <w:rFonts w:ascii="宋体" w:eastAsia="宋体" w:hAnsi="宋体" w:cs="宋体"/>
                <w:sz w:val="18"/>
                <w:szCs w:val="18"/>
              </w:rPr>
            </w:pPr>
            <w:r>
              <w:rPr>
                <w:rFonts w:ascii="宋体" w:eastAsia="宋体" w:hAnsi="宋体" w:cs="宋体"/>
                <w:sz w:val="18"/>
                <w:szCs w:val="18"/>
              </w:rPr>
              <w:t>548,913.04</w:t>
            </w:r>
          </w:p>
        </w:tc>
        <w:tc>
          <w:tcPr>
            <w:tcW w:w="1606" w:type="dxa"/>
            <w:vMerge w:val="restart"/>
            <w:tcBorders>
              <w:top w:val="single" w:sz="2" w:space="0" w:color="auto"/>
              <w:left w:val="single" w:sz="2" w:space="0" w:color="auto"/>
              <w:right w:val="single" w:sz="2" w:space="0" w:color="auto"/>
            </w:tcBorders>
            <w:vAlign w:val="center"/>
          </w:tcPr>
          <w:p w:rsidR="003A654C" w:rsidRDefault="003A654C">
            <w:pPr>
              <w:spacing w:line="240" w:lineRule="exact"/>
              <w:jc w:val="right"/>
              <w:rPr>
                <w:rFonts w:ascii="宋体" w:eastAsia="宋体" w:hAnsi="宋体" w:cs="宋体"/>
                <w:sz w:val="18"/>
                <w:szCs w:val="18"/>
              </w:rPr>
            </w:pPr>
            <w:r>
              <w:rPr>
                <w:rFonts w:ascii="宋体" w:eastAsia="宋体" w:hAnsi="宋体" w:cs="宋体"/>
                <w:sz w:val="18"/>
                <w:szCs w:val="18"/>
              </w:rPr>
              <w:t>3,000,000.00</w:t>
            </w:r>
          </w:p>
        </w:tc>
        <w:tc>
          <w:tcPr>
            <w:tcW w:w="1606" w:type="dxa"/>
            <w:vMerge w:val="restart"/>
            <w:tcBorders>
              <w:top w:val="single" w:sz="2" w:space="0" w:color="auto"/>
              <w:left w:val="single" w:sz="2" w:space="0" w:color="auto"/>
              <w:right w:val="single" w:sz="2" w:space="0" w:color="auto"/>
            </w:tcBorders>
            <w:vAlign w:val="center"/>
          </w:tcPr>
          <w:p w:rsidR="003A654C" w:rsidRDefault="003A654C" w:rsidP="008F15E7">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3A654C" w:rsidRDefault="003A654C">
            <w:pPr>
              <w:spacing w:line="240" w:lineRule="exact"/>
              <w:jc w:val="right"/>
              <w:rPr>
                <w:rFonts w:ascii="宋体" w:eastAsia="宋体" w:hAnsi="宋体" w:cs="宋体"/>
                <w:sz w:val="18"/>
                <w:szCs w:val="18"/>
              </w:rPr>
            </w:pPr>
            <w:r>
              <w:rPr>
                <w:rFonts w:ascii="宋体" w:eastAsia="宋体" w:hAnsi="宋体" w:cs="宋体"/>
                <w:sz w:val="18"/>
                <w:szCs w:val="18"/>
              </w:rPr>
              <w:t>554,211.94</w:t>
            </w:r>
          </w:p>
        </w:tc>
      </w:tr>
      <w:tr w:rsidR="003A654C" w:rsidTr="00814945">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A654C" w:rsidRDefault="003A654C">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1606" w:type="dxa"/>
            <w:tcBorders>
              <w:top w:val="single" w:sz="2" w:space="0" w:color="auto"/>
              <w:left w:val="single" w:sz="2" w:space="0" w:color="auto"/>
              <w:bottom w:val="single" w:sz="2" w:space="0" w:color="auto"/>
              <w:right w:val="single" w:sz="2" w:space="0" w:color="auto"/>
            </w:tcBorders>
            <w:vAlign w:val="center"/>
          </w:tcPr>
          <w:p w:rsidR="003A654C" w:rsidRDefault="003A654C">
            <w:pPr>
              <w:spacing w:line="240" w:lineRule="exact"/>
              <w:rPr>
                <w:rFonts w:ascii="宋体" w:eastAsia="宋体" w:hAnsi="宋体" w:cs="宋体"/>
                <w:sz w:val="18"/>
                <w:szCs w:val="18"/>
              </w:rPr>
            </w:pPr>
            <w:r>
              <w:rPr>
                <w:rFonts w:ascii="宋体" w:eastAsia="宋体" w:hAnsi="宋体" w:cs="宋体"/>
                <w:sz w:val="18"/>
                <w:szCs w:val="18"/>
              </w:rPr>
              <w:t>商品劳务</w:t>
            </w:r>
          </w:p>
        </w:tc>
        <w:tc>
          <w:tcPr>
            <w:tcW w:w="1606" w:type="dxa"/>
            <w:tcBorders>
              <w:top w:val="single" w:sz="2" w:space="0" w:color="auto"/>
              <w:left w:val="single" w:sz="2" w:space="0" w:color="auto"/>
              <w:bottom w:val="single" w:sz="2" w:space="0" w:color="auto"/>
              <w:right w:val="single" w:sz="2" w:space="0" w:color="auto"/>
            </w:tcBorders>
            <w:vAlign w:val="center"/>
          </w:tcPr>
          <w:p w:rsidR="003A654C" w:rsidRDefault="003A654C">
            <w:pPr>
              <w:spacing w:line="240" w:lineRule="exact"/>
              <w:jc w:val="right"/>
              <w:rPr>
                <w:rFonts w:ascii="宋体" w:eastAsia="宋体" w:hAnsi="宋体" w:cs="宋体"/>
                <w:sz w:val="18"/>
                <w:szCs w:val="18"/>
              </w:rPr>
            </w:pPr>
            <w:r>
              <w:rPr>
                <w:rFonts w:ascii="宋体" w:eastAsia="宋体" w:hAnsi="宋体" w:cs="宋体"/>
                <w:sz w:val="18"/>
                <w:szCs w:val="18"/>
              </w:rPr>
              <w:t>642,903.56</w:t>
            </w:r>
          </w:p>
        </w:tc>
        <w:tc>
          <w:tcPr>
            <w:tcW w:w="1607" w:type="dxa"/>
            <w:vMerge/>
            <w:tcBorders>
              <w:left w:val="single" w:sz="2" w:space="0" w:color="auto"/>
              <w:bottom w:val="single" w:sz="2" w:space="0" w:color="auto"/>
              <w:right w:val="single" w:sz="2" w:space="0" w:color="auto"/>
            </w:tcBorders>
            <w:vAlign w:val="center"/>
          </w:tcPr>
          <w:p w:rsidR="003A654C" w:rsidRDefault="003A654C">
            <w:pPr>
              <w:spacing w:line="240" w:lineRule="exact"/>
              <w:jc w:val="right"/>
              <w:rPr>
                <w:rFonts w:ascii="宋体" w:eastAsia="宋体" w:hAnsi="宋体" w:cs="宋体"/>
                <w:sz w:val="18"/>
                <w:szCs w:val="18"/>
              </w:rPr>
            </w:pPr>
          </w:p>
        </w:tc>
        <w:tc>
          <w:tcPr>
            <w:tcW w:w="1607" w:type="dxa"/>
            <w:vMerge/>
            <w:tcBorders>
              <w:left w:val="single" w:sz="2" w:space="0" w:color="auto"/>
              <w:bottom w:val="single" w:sz="2" w:space="0" w:color="auto"/>
              <w:right w:val="single" w:sz="2" w:space="0" w:color="auto"/>
            </w:tcBorders>
            <w:vAlign w:val="center"/>
          </w:tcPr>
          <w:p w:rsidR="003A654C" w:rsidRDefault="003A654C">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3A654C" w:rsidRDefault="003A654C">
            <w:pPr>
              <w:spacing w:line="240" w:lineRule="exact"/>
              <w:jc w:val="right"/>
              <w:rPr>
                <w:rFonts w:ascii="宋体" w:eastAsia="宋体" w:hAnsi="宋体" w:cs="宋体"/>
                <w:sz w:val="18"/>
                <w:szCs w:val="18"/>
              </w:rPr>
            </w:pPr>
            <w:r>
              <w:rPr>
                <w:rFonts w:ascii="宋体" w:eastAsia="宋体" w:hAnsi="宋体" w:cs="宋体"/>
                <w:sz w:val="18"/>
                <w:szCs w:val="18"/>
              </w:rPr>
              <w:t>654,692.53</w:t>
            </w:r>
          </w:p>
        </w:tc>
      </w:tr>
      <w:tr w:rsidR="00BD1BB9" w:rsidTr="003A654C">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江苏华西村海洋工程服务有限公司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商品劳务</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5,000.00</w:t>
            </w:r>
          </w:p>
        </w:tc>
      </w:tr>
    </w:tbl>
    <w:p w:rsidR="00BD1BB9" w:rsidRDefault="00452DEF">
      <w:pPr>
        <w:spacing w:before="100" w:after="40" w:line="240" w:lineRule="exact"/>
        <w:rPr>
          <w:rFonts w:ascii="宋体" w:eastAsia="宋体" w:hAnsi="宋体" w:cs="宋体"/>
          <w:sz w:val="18"/>
          <w:szCs w:val="18"/>
        </w:rPr>
      </w:pPr>
      <w:r>
        <w:rPr>
          <w:rFonts w:ascii="宋体" w:eastAsia="宋体" w:hAnsi="宋体" w:cs="宋体"/>
          <w:sz w:val="18"/>
          <w:szCs w:val="18"/>
        </w:rPr>
        <w:t>出售商品/提供劳务情况表</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劳务</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15,713.58</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19,876.98</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江阴市华西纺织有限公司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商品劳务</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1,009,495.23</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bl>
    <w:p w:rsidR="00BD1BB9" w:rsidRDefault="00452DEF">
      <w:pPr>
        <w:keepNext/>
        <w:keepLines/>
        <w:spacing w:before="300" w:after="300" w:line="280" w:lineRule="exact"/>
        <w:outlineLvl w:val="3"/>
        <w:rPr>
          <w:rFonts w:ascii="宋体" w:eastAsia="宋体" w:hAnsi="宋体" w:cs="宋体"/>
          <w:b/>
          <w:bCs/>
          <w:szCs w:val="21"/>
        </w:rPr>
      </w:pPr>
      <w:bookmarkStart w:id="313" w:name="_Toc989180"/>
      <w:r>
        <w:rPr>
          <w:rFonts w:ascii="宋体" w:eastAsia="宋体" w:hAnsi="宋体" w:cs="宋体"/>
          <w:b/>
          <w:bCs/>
          <w:szCs w:val="21"/>
        </w:rPr>
        <w:t>（2） 关联租赁情况</w:t>
      </w:r>
      <w:bookmarkEnd w:id="313"/>
    </w:p>
    <w:p w:rsidR="00BD1BB9" w:rsidRDefault="00452DEF">
      <w:pPr>
        <w:spacing w:before="100" w:after="40" w:line="240" w:lineRule="exact"/>
        <w:rPr>
          <w:rFonts w:ascii="宋体" w:eastAsia="宋体" w:hAnsi="宋体" w:cs="宋体"/>
          <w:sz w:val="18"/>
          <w:szCs w:val="18"/>
        </w:rPr>
      </w:pPr>
      <w:r>
        <w:rPr>
          <w:rFonts w:ascii="宋体" w:eastAsia="宋体" w:hAnsi="宋体" w:cs="宋体"/>
          <w:sz w:val="18"/>
          <w:szCs w:val="18"/>
        </w:rPr>
        <w:t>本公司作为承租方：</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BD1BB9">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增加的使用权资产</w:t>
            </w:r>
          </w:p>
        </w:tc>
      </w:tr>
      <w:tr w:rsidR="00BD1BB9">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rsidR="00BD1BB9" w:rsidRDefault="00BD1BB9"/>
        </w:tc>
        <w:tc>
          <w:tcPr>
            <w:tcW w:w="803" w:type="dxa"/>
            <w:vMerge/>
            <w:tcBorders>
              <w:top w:val="single" w:sz="2" w:space="0" w:color="auto"/>
              <w:left w:val="single" w:sz="2" w:space="0" w:color="auto"/>
              <w:bottom w:val="single" w:sz="2" w:space="0" w:color="auto"/>
              <w:right w:val="single" w:sz="2" w:space="0" w:color="auto"/>
            </w:tcBorders>
            <w:vAlign w:val="center"/>
          </w:tcPr>
          <w:p w:rsidR="00BD1BB9" w:rsidRDefault="00BD1BB9"/>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房屋、土地</w:t>
            </w: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2,995,605.21</w:t>
            </w: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3,018,825.02</w:t>
            </w: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2,995,605.21</w:t>
            </w: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3,018,825.02</w:t>
            </w: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土地</w:t>
            </w: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35,560.15</w:t>
            </w: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35,560.15</w:t>
            </w: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35,560.15</w:t>
            </w: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35,560.15</w:t>
            </w: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bl>
    <w:p w:rsidR="00BD1BB9" w:rsidRDefault="00452DEF">
      <w:pPr>
        <w:keepNext/>
        <w:keepLines/>
        <w:spacing w:before="300" w:after="300" w:line="280" w:lineRule="exact"/>
        <w:outlineLvl w:val="3"/>
        <w:rPr>
          <w:rFonts w:ascii="宋体" w:eastAsia="宋体" w:hAnsi="宋体" w:cs="宋体"/>
          <w:b/>
          <w:bCs/>
          <w:szCs w:val="21"/>
        </w:rPr>
      </w:pPr>
      <w:bookmarkStart w:id="314" w:name="_Toc989181"/>
      <w:r>
        <w:rPr>
          <w:rFonts w:ascii="宋体" w:eastAsia="宋体" w:hAnsi="宋体" w:cs="宋体"/>
          <w:b/>
          <w:bCs/>
          <w:szCs w:val="21"/>
        </w:rPr>
        <w:lastRenderedPageBreak/>
        <w:t>（3） 关联担保情况</w:t>
      </w:r>
      <w:bookmarkEnd w:id="314"/>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本公司作为担保方</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被担保方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2025年04月01日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2026年03月30日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2025年04月01日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2026年03月30日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2024年12月12日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2025年12月10日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2024年12月12日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2025年12月10日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2025年01月10日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2026年01月08日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99,500,000.00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2025年01月22日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2026年01月19日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98,130,000.00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2025年01月23日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2026年01月21日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2024年10月17日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2025年10月17日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2024年09月10日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2025年09月10日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31,100,000.00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2025年03月04日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2026年03月03日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2024年11月12日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2025年11月10日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rsidP="003F61C4">
            <w:pPr>
              <w:spacing w:line="240" w:lineRule="exact"/>
              <w:jc w:val="right"/>
              <w:rPr>
                <w:rFonts w:ascii="宋体" w:eastAsia="宋体" w:hAnsi="宋体" w:cs="宋体"/>
                <w:sz w:val="18"/>
                <w:szCs w:val="18"/>
              </w:rPr>
            </w:pPr>
            <w:r>
              <w:rPr>
                <w:rFonts w:ascii="宋体" w:eastAsia="宋体" w:hAnsi="宋体" w:cs="宋体"/>
                <w:sz w:val="18"/>
                <w:szCs w:val="18"/>
              </w:rPr>
              <w:t>1</w:t>
            </w:r>
            <w:r w:rsidR="003F61C4">
              <w:rPr>
                <w:rFonts w:ascii="宋体" w:eastAsia="宋体" w:hAnsi="宋体" w:cs="宋体" w:hint="eastAsia"/>
                <w:sz w:val="18"/>
                <w:szCs w:val="18"/>
              </w:rPr>
              <w:t>85</w:t>
            </w:r>
            <w:r>
              <w:rPr>
                <w:rFonts w:ascii="宋体" w:eastAsia="宋体" w:hAnsi="宋体" w:cs="宋体"/>
                <w:sz w:val="18"/>
                <w:szCs w:val="18"/>
              </w:rPr>
              <w:t>,000,000.00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2026年03月29日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65,000,000.00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2025年01月22日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2025年07月22日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3F61C4">
            <w:pPr>
              <w:spacing w:line="240" w:lineRule="exact"/>
              <w:rPr>
                <w:rFonts w:ascii="宋体" w:eastAsia="宋体" w:hAnsi="宋体" w:cs="宋体"/>
                <w:sz w:val="18"/>
                <w:szCs w:val="18"/>
              </w:rPr>
            </w:pPr>
            <w:r>
              <w:rPr>
                <w:rFonts w:ascii="宋体" w:eastAsia="宋体" w:hAnsi="宋体" w:cs="宋体" w:hint="eastAsia"/>
                <w:sz w:val="18"/>
                <w:szCs w:val="18"/>
              </w:rPr>
              <w:t>合  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rsidP="003F61C4">
            <w:pPr>
              <w:spacing w:line="240" w:lineRule="exact"/>
              <w:jc w:val="right"/>
              <w:rPr>
                <w:rFonts w:ascii="宋体" w:eastAsia="宋体" w:hAnsi="宋体" w:cs="宋体"/>
                <w:sz w:val="18"/>
                <w:szCs w:val="18"/>
              </w:rPr>
            </w:pPr>
            <w:r>
              <w:rPr>
                <w:rFonts w:ascii="宋体" w:eastAsia="宋体" w:hAnsi="宋体" w:cs="宋体"/>
                <w:sz w:val="18"/>
                <w:szCs w:val="18"/>
              </w:rPr>
              <w:t>1,0</w:t>
            </w:r>
            <w:r w:rsidR="003F61C4">
              <w:rPr>
                <w:rFonts w:ascii="宋体" w:eastAsia="宋体" w:hAnsi="宋体" w:cs="宋体" w:hint="eastAsia"/>
                <w:sz w:val="18"/>
                <w:szCs w:val="18"/>
              </w:rPr>
              <w:t>58</w:t>
            </w:r>
            <w:r>
              <w:rPr>
                <w:rFonts w:ascii="宋体" w:eastAsia="宋体" w:hAnsi="宋体" w:cs="宋体"/>
                <w:sz w:val="18"/>
                <w:szCs w:val="18"/>
              </w:rPr>
              <w:t>,730,000.00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bl>
    <w:p w:rsidR="00240BDB" w:rsidRDefault="00240BDB">
      <w:pPr>
        <w:spacing w:before="100" w:after="40" w:line="240" w:lineRule="exact"/>
        <w:rPr>
          <w:rFonts w:ascii="宋体" w:eastAsia="宋体" w:hAnsi="宋体" w:cs="宋体"/>
          <w:sz w:val="18"/>
          <w:szCs w:val="18"/>
        </w:rPr>
      </w:pPr>
      <w:r>
        <w:rPr>
          <w:rFonts w:ascii="宋体" w:eastAsia="宋体" w:hAnsi="宋体" w:cs="宋体" w:hint="eastAsia"/>
          <w:sz w:val="18"/>
          <w:szCs w:val="18"/>
        </w:rPr>
        <w:t>注：截至2025年6月30日，公司对江苏华西集团有限公司及关联人实际担保余额为84,902.95万元。</w:t>
      </w:r>
    </w:p>
    <w:p w:rsidR="00240BDB" w:rsidRDefault="00240BDB">
      <w:pPr>
        <w:spacing w:before="100" w:after="40" w:line="240" w:lineRule="exact"/>
        <w:rPr>
          <w:rFonts w:ascii="宋体" w:eastAsia="宋体" w:hAnsi="宋体" w:cs="宋体"/>
          <w:sz w:val="18"/>
          <w:szCs w:val="18"/>
        </w:rPr>
      </w:pPr>
    </w:p>
    <w:p w:rsidR="00BD1BB9" w:rsidRDefault="00452DEF">
      <w:pPr>
        <w:spacing w:before="100" w:after="40" w:line="240" w:lineRule="exact"/>
        <w:rPr>
          <w:rFonts w:ascii="宋体" w:eastAsia="宋体" w:hAnsi="宋体" w:cs="宋体"/>
          <w:sz w:val="18"/>
          <w:szCs w:val="18"/>
        </w:rPr>
      </w:pPr>
      <w:r>
        <w:rPr>
          <w:rFonts w:ascii="宋体" w:eastAsia="宋体" w:hAnsi="宋体" w:cs="宋体"/>
          <w:sz w:val="18"/>
          <w:szCs w:val="18"/>
        </w:rPr>
        <w:t>本公司作为被担保方</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2024年06月27日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2026年06月26日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85,000,000.00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2024年09月13日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2025年09月05日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2025年02月10日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2025年08月09日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34,000,000.00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2025年02月19日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2026年02月18日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2025年02月21日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2026年02月20日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2025年04月09日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2026年04月08日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2025年05月09日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2026年05月08日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lastRenderedPageBreak/>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2025年05月23日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2026年05月22日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17,500,000.00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2025年03月13日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2025年09月13日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2025年05月23日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2025年11月23日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24,500,000.00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2025年06月25日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2025年12月25日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2025年05月06日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2025年11月06日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16,000,000.00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2025年02月07日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2025年08月06日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2025年06月11日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2025年12月08日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2025年06月30日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2025年12月29日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2024年11月01日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2025年10月31日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2024年11月01日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2025年10月31日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2024年07月11日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2025年07月07日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2025年01月09日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2026年01月05日</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否</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合  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805,800,000.00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bl>
    <w:p w:rsidR="00BD1BB9" w:rsidRDefault="00452DEF">
      <w:pPr>
        <w:keepNext/>
        <w:keepLines/>
        <w:spacing w:before="300" w:after="300" w:line="280" w:lineRule="exact"/>
        <w:outlineLvl w:val="3"/>
        <w:rPr>
          <w:rFonts w:ascii="宋体" w:eastAsia="宋体" w:hAnsi="宋体" w:cs="宋体"/>
          <w:b/>
          <w:bCs/>
          <w:szCs w:val="21"/>
        </w:rPr>
      </w:pPr>
      <w:bookmarkStart w:id="315" w:name="_Toc989182"/>
      <w:r>
        <w:rPr>
          <w:rFonts w:ascii="宋体" w:eastAsia="宋体" w:hAnsi="宋体" w:cs="宋体"/>
          <w:b/>
          <w:bCs/>
          <w:szCs w:val="21"/>
        </w:rPr>
        <w:t>（4） 关键管理人员报酬</w:t>
      </w:r>
      <w:bookmarkEnd w:id="315"/>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1,074,596.00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1,108,923.00</w:t>
            </w:r>
          </w:p>
        </w:tc>
      </w:tr>
    </w:tbl>
    <w:p w:rsidR="00BD1BB9" w:rsidRDefault="00452DEF">
      <w:pPr>
        <w:keepNext/>
        <w:keepLines/>
        <w:spacing w:before="300" w:after="300" w:line="280" w:lineRule="exact"/>
        <w:outlineLvl w:val="3"/>
        <w:rPr>
          <w:rFonts w:ascii="宋体" w:eastAsia="宋体" w:hAnsi="宋体" w:cs="宋体"/>
          <w:b/>
          <w:bCs/>
          <w:szCs w:val="21"/>
        </w:rPr>
      </w:pPr>
      <w:bookmarkStart w:id="316" w:name="_Toc989183"/>
      <w:r>
        <w:rPr>
          <w:rFonts w:ascii="宋体" w:eastAsia="宋体" w:hAnsi="宋体" w:cs="宋体"/>
          <w:b/>
          <w:bCs/>
          <w:szCs w:val="21"/>
        </w:rPr>
        <w:t>（5） 关联方存款</w:t>
      </w:r>
      <w:bookmarkEnd w:id="316"/>
    </w:p>
    <w:tbl>
      <w:tblPr>
        <w:tblW w:w="4914" w:type="pct"/>
        <w:tblCellMar>
          <w:left w:w="0" w:type="dxa"/>
          <w:right w:w="0" w:type="dxa"/>
        </w:tblCellMar>
        <w:tblLook w:val="04A0" w:firstRow="1" w:lastRow="0" w:firstColumn="1" w:lastColumn="0" w:noHBand="0" w:noVBand="1"/>
      </w:tblPr>
      <w:tblGrid>
        <w:gridCol w:w="1397"/>
        <w:gridCol w:w="2324"/>
        <w:gridCol w:w="991"/>
        <w:gridCol w:w="1840"/>
        <w:gridCol w:w="1840"/>
        <w:gridCol w:w="1134"/>
      </w:tblGrid>
      <w:tr w:rsidR="004A3B7E" w:rsidTr="00240BDB">
        <w:trPr>
          <w:divId w:val="109280549"/>
          <w:trHeight w:val="660"/>
          <w:tblHeader/>
        </w:trPr>
        <w:tc>
          <w:tcPr>
            <w:tcW w:w="73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项目名称</w:t>
            </w:r>
          </w:p>
        </w:tc>
        <w:tc>
          <w:tcPr>
            <w:tcW w:w="122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关联方</w:t>
            </w:r>
          </w:p>
        </w:tc>
        <w:tc>
          <w:tcPr>
            <w:tcW w:w="52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期初余额</w:t>
            </w:r>
          </w:p>
        </w:tc>
        <w:tc>
          <w:tcPr>
            <w:tcW w:w="96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本期借方</w:t>
            </w:r>
          </w:p>
        </w:tc>
        <w:tc>
          <w:tcPr>
            <w:tcW w:w="96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本期贷方</w:t>
            </w:r>
          </w:p>
        </w:tc>
        <w:tc>
          <w:tcPr>
            <w:tcW w:w="59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r>
      <w:tr w:rsidR="004A3B7E" w:rsidTr="00240BDB">
        <w:trPr>
          <w:divId w:val="109280549"/>
          <w:trHeight w:val="345"/>
        </w:trPr>
        <w:tc>
          <w:tcPr>
            <w:tcW w:w="733"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货币资金</w:t>
            </w:r>
          </w:p>
        </w:tc>
        <w:tc>
          <w:tcPr>
            <w:tcW w:w="122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江苏华西集团财务有限公司</w:t>
            </w:r>
          </w:p>
        </w:tc>
        <w:tc>
          <w:tcPr>
            <w:tcW w:w="52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966"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A3B7E" w:rsidRDefault="00452DEF">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687,998.17</w:t>
            </w:r>
          </w:p>
        </w:tc>
        <w:tc>
          <w:tcPr>
            <w:tcW w:w="966"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687,998.17</w:t>
            </w:r>
          </w:p>
        </w:tc>
        <w:tc>
          <w:tcPr>
            <w:tcW w:w="59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A3B7E" w:rsidRDefault="00452DEF">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 </w:t>
            </w:r>
          </w:p>
        </w:tc>
      </w:tr>
    </w:tbl>
    <w:p w:rsidR="004A3B7E" w:rsidRDefault="00452DEF">
      <w:pPr>
        <w:pStyle w:val="a3"/>
        <w:spacing w:before="0" w:beforeAutospacing="0" w:after="0" w:afterAutospacing="0" w:line="400" w:lineRule="atLeast"/>
        <w:ind w:firstLine="360"/>
        <w:jc w:val="both"/>
        <w:divId w:val="109280549"/>
        <w:rPr>
          <w:rFonts w:ascii="Times New Roman" w:eastAsia="仿宋" w:hAnsi="Times New Roman" w:cs="Times New Roman"/>
          <w:sz w:val="21"/>
          <w:szCs w:val="21"/>
        </w:rPr>
      </w:pPr>
      <w:r>
        <w:rPr>
          <w:rFonts w:cs="Times New Roman" w:hint="eastAsia"/>
          <w:sz w:val="18"/>
          <w:szCs w:val="18"/>
        </w:rPr>
        <w:t>2025年半年度，公司收取在江苏华西集团财务有限公司的存款利息51.91元。</w:t>
      </w:r>
    </w:p>
    <w:p w:rsidR="00BD1BB9" w:rsidRDefault="00452DEF">
      <w:pPr>
        <w:pStyle w:val="3"/>
        <w:spacing w:line="280" w:lineRule="exact"/>
        <w:jc w:val="left"/>
        <w:rPr>
          <w:rFonts w:ascii="宋体" w:hAnsi="宋体" w:cs="宋体"/>
          <w:b/>
          <w:bCs/>
        </w:rPr>
      </w:pPr>
      <w:bookmarkStart w:id="317" w:name="_Toc989184"/>
      <w:r>
        <w:rPr>
          <w:rFonts w:ascii="宋体" w:hAnsi="宋体" w:cs="宋体"/>
          <w:b/>
          <w:bCs/>
        </w:rPr>
        <w:t>6、关联方应收应付款项</w:t>
      </w:r>
      <w:bookmarkEnd w:id="317"/>
    </w:p>
    <w:p w:rsidR="00BD1BB9" w:rsidRDefault="00452DEF">
      <w:pPr>
        <w:keepNext/>
        <w:keepLines/>
        <w:spacing w:before="300" w:after="300" w:line="280" w:lineRule="exact"/>
        <w:outlineLvl w:val="3"/>
        <w:rPr>
          <w:rFonts w:ascii="宋体" w:eastAsia="宋体" w:hAnsi="宋体" w:cs="宋体"/>
          <w:b/>
          <w:bCs/>
          <w:szCs w:val="21"/>
        </w:rPr>
      </w:pPr>
      <w:bookmarkStart w:id="318" w:name="_Toc989185"/>
      <w:r>
        <w:rPr>
          <w:rFonts w:ascii="宋体" w:eastAsia="宋体" w:hAnsi="宋体" w:cs="宋体"/>
          <w:b/>
          <w:bCs/>
          <w:szCs w:val="21"/>
        </w:rPr>
        <w:t>（1） 应收项目</w:t>
      </w:r>
      <w:bookmarkEnd w:id="318"/>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607"/>
        <w:gridCol w:w="1606"/>
        <w:gridCol w:w="1607"/>
      </w:tblGrid>
      <w:tr w:rsidR="00BD1BB9">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7,284.70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364.24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bl>
    <w:p w:rsidR="00BD1BB9" w:rsidRDefault="00452DEF">
      <w:pPr>
        <w:pStyle w:val="2"/>
        <w:spacing w:before="300" w:after="300" w:line="320" w:lineRule="exact"/>
        <w:rPr>
          <w:rFonts w:ascii="宋体" w:eastAsia="宋体" w:hAnsi="宋体" w:cs="宋体"/>
          <w:b/>
          <w:bCs/>
          <w:sz w:val="24"/>
          <w:szCs w:val="24"/>
        </w:rPr>
      </w:pPr>
      <w:bookmarkStart w:id="319" w:name="_Toc989186"/>
      <w:r>
        <w:rPr>
          <w:rFonts w:ascii="宋体" w:eastAsia="宋体" w:hAnsi="宋体" w:cs="宋体"/>
          <w:b/>
          <w:bCs/>
          <w:sz w:val="24"/>
          <w:szCs w:val="24"/>
        </w:rPr>
        <w:lastRenderedPageBreak/>
        <w:t>十五、股份支付</w:t>
      </w:r>
      <w:bookmarkEnd w:id="319"/>
    </w:p>
    <w:p w:rsidR="00BD1BB9" w:rsidRDefault="00452DEF">
      <w:pPr>
        <w:pStyle w:val="3"/>
        <w:spacing w:line="280" w:lineRule="exact"/>
        <w:jc w:val="left"/>
        <w:rPr>
          <w:rFonts w:ascii="宋体" w:hAnsi="宋体" w:cs="宋体"/>
          <w:b/>
          <w:bCs/>
        </w:rPr>
      </w:pPr>
      <w:bookmarkStart w:id="320" w:name="_Toc989187"/>
      <w:r>
        <w:rPr>
          <w:rFonts w:ascii="宋体" w:hAnsi="宋体" w:cs="宋体"/>
          <w:b/>
          <w:bCs/>
        </w:rPr>
        <w:t>1、股份支付总体情况</w:t>
      </w:r>
      <w:bookmarkEnd w:id="320"/>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3"/>
        <w:spacing w:line="280" w:lineRule="exact"/>
        <w:jc w:val="left"/>
        <w:rPr>
          <w:rFonts w:ascii="宋体" w:hAnsi="宋体" w:cs="宋体"/>
          <w:b/>
          <w:bCs/>
        </w:rPr>
      </w:pPr>
      <w:bookmarkStart w:id="321" w:name="_Toc989188"/>
      <w:r>
        <w:rPr>
          <w:rFonts w:ascii="宋体" w:hAnsi="宋体" w:cs="宋体"/>
          <w:b/>
          <w:bCs/>
        </w:rPr>
        <w:t>2、以权益结算的股份支付情况</w:t>
      </w:r>
      <w:bookmarkEnd w:id="321"/>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3"/>
        <w:spacing w:line="280" w:lineRule="exact"/>
        <w:jc w:val="left"/>
        <w:rPr>
          <w:rFonts w:ascii="宋体" w:hAnsi="宋体" w:cs="宋体"/>
          <w:b/>
          <w:bCs/>
        </w:rPr>
      </w:pPr>
      <w:bookmarkStart w:id="322" w:name="_Toc989189"/>
      <w:r>
        <w:rPr>
          <w:rFonts w:ascii="宋体" w:hAnsi="宋体" w:cs="宋体"/>
          <w:b/>
          <w:bCs/>
        </w:rPr>
        <w:t>3、以现金结算的股份支付情况</w:t>
      </w:r>
      <w:bookmarkEnd w:id="322"/>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3"/>
        <w:spacing w:line="280" w:lineRule="exact"/>
        <w:jc w:val="left"/>
        <w:rPr>
          <w:rFonts w:ascii="宋体" w:hAnsi="宋体" w:cs="宋体"/>
          <w:b/>
          <w:bCs/>
        </w:rPr>
      </w:pPr>
      <w:bookmarkStart w:id="323" w:name="_Toc989190"/>
      <w:r>
        <w:rPr>
          <w:rFonts w:ascii="宋体" w:hAnsi="宋体" w:cs="宋体"/>
          <w:b/>
          <w:bCs/>
        </w:rPr>
        <w:t>4、本期股份支付费用</w:t>
      </w:r>
      <w:bookmarkEnd w:id="323"/>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2"/>
        <w:spacing w:before="300" w:after="300" w:line="320" w:lineRule="exact"/>
        <w:rPr>
          <w:rFonts w:ascii="宋体" w:eastAsia="宋体" w:hAnsi="宋体" w:cs="宋体"/>
          <w:b/>
          <w:bCs/>
          <w:sz w:val="24"/>
          <w:szCs w:val="24"/>
        </w:rPr>
      </w:pPr>
      <w:bookmarkStart w:id="324" w:name="_Toc989191"/>
      <w:r>
        <w:rPr>
          <w:rFonts w:ascii="宋体" w:eastAsia="宋体" w:hAnsi="宋体" w:cs="宋体"/>
          <w:b/>
          <w:bCs/>
          <w:sz w:val="24"/>
          <w:szCs w:val="24"/>
        </w:rPr>
        <w:t>十六、承诺及或有事项</w:t>
      </w:r>
      <w:bookmarkEnd w:id="324"/>
    </w:p>
    <w:p w:rsidR="00BD1BB9" w:rsidRDefault="00452DEF">
      <w:pPr>
        <w:pStyle w:val="3"/>
        <w:spacing w:line="280" w:lineRule="exact"/>
        <w:jc w:val="left"/>
        <w:rPr>
          <w:rFonts w:ascii="宋体" w:hAnsi="宋体" w:cs="宋体"/>
          <w:b/>
          <w:bCs/>
        </w:rPr>
      </w:pPr>
      <w:bookmarkStart w:id="325" w:name="_Toc989192"/>
      <w:r>
        <w:rPr>
          <w:rFonts w:ascii="宋体" w:hAnsi="宋体" w:cs="宋体"/>
          <w:b/>
          <w:bCs/>
        </w:rPr>
        <w:t>1、重要承诺事项</w:t>
      </w:r>
      <w:bookmarkEnd w:id="325"/>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资产负债表日存在的重要承诺</w:t>
      </w:r>
    </w:p>
    <w:p w:rsidR="004A3B7E" w:rsidRDefault="00452DEF">
      <w:pPr>
        <w:pStyle w:val="a3"/>
        <w:spacing w:before="0" w:beforeAutospacing="0" w:after="0" w:afterAutospacing="0" w:line="400" w:lineRule="atLeast"/>
        <w:ind w:firstLine="360"/>
        <w:jc w:val="both"/>
        <w:divId w:val="751894808"/>
        <w:rPr>
          <w:rFonts w:ascii="Times New Roman" w:hAnsi="Times New Roman" w:cs="Times New Roman"/>
          <w:sz w:val="21"/>
          <w:szCs w:val="21"/>
        </w:rPr>
      </w:pPr>
      <w:r>
        <w:rPr>
          <w:rFonts w:cs="Times New Roman" w:hint="eastAsia"/>
          <w:sz w:val="18"/>
          <w:szCs w:val="18"/>
        </w:rPr>
        <w:t>截至2025年6月30日，本公司无需要披露的重大承诺事项。</w:t>
      </w:r>
    </w:p>
    <w:p w:rsidR="00BD1BB9" w:rsidRDefault="00452DEF">
      <w:pPr>
        <w:pStyle w:val="3"/>
        <w:spacing w:line="280" w:lineRule="exact"/>
        <w:jc w:val="left"/>
        <w:rPr>
          <w:rFonts w:ascii="宋体" w:hAnsi="宋体" w:cs="宋体"/>
          <w:b/>
          <w:bCs/>
        </w:rPr>
      </w:pPr>
      <w:bookmarkStart w:id="326" w:name="_Toc989193"/>
      <w:r>
        <w:rPr>
          <w:rFonts w:ascii="宋体" w:hAnsi="宋体" w:cs="宋体"/>
          <w:b/>
          <w:bCs/>
        </w:rPr>
        <w:t>2、或有事项</w:t>
      </w:r>
      <w:bookmarkEnd w:id="326"/>
    </w:p>
    <w:p w:rsidR="00BD1BB9" w:rsidRDefault="00452DEF">
      <w:pPr>
        <w:keepNext/>
        <w:keepLines/>
        <w:spacing w:before="300" w:after="300" w:line="280" w:lineRule="exact"/>
        <w:outlineLvl w:val="3"/>
        <w:rPr>
          <w:rFonts w:ascii="宋体" w:eastAsia="宋体" w:hAnsi="宋体" w:cs="宋体"/>
          <w:b/>
          <w:bCs/>
          <w:szCs w:val="21"/>
        </w:rPr>
      </w:pPr>
      <w:bookmarkStart w:id="327" w:name="_Toc989194"/>
      <w:r>
        <w:rPr>
          <w:rFonts w:ascii="宋体" w:eastAsia="宋体" w:hAnsi="宋体" w:cs="宋体"/>
          <w:b/>
          <w:bCs/>
          <w:szCs w:val="21"/>
        </w:rPr>
        <w:t>（1） 资产负债表日存在的重要或有事项</w:t>
      </w:r>
      <w:bookmarkEnd w:id="327"/>
    </w:p>
    <w:p w:rsidR="004A3B7E" w:rsidRDefault="00452DEF">
      <w:pPr>
        <w:pStyle w:val="a3"/>
        <w:spacing w:before="0" w:beforeAutospacing="0" w:after="0" w:afterAutospacing="0" w:line="400" w:lineRule="atLeast"/>
        <w:ind w:firstLine="360"/>
        <w:jc w:val="both"/>
        <w:divId w:val="269314868"/>
        <w:rPr>
          <w:rFonts w:ascii="Times New Roman" w:hAnsi="Times New Roman" w:cs="Times New Roman"/>
          <w:sz w:val="21"/>
          <w:szCs w:val="21"/>
        </w:rPr>
      </w:pPr>
      <w:r>
        <w:rPr>
          <w:rFonts w:cs="Times New Roman" w:hint="eastAsia"/>
          <w:sz w:val="18"/>
          <w:szCs w:val="18"/>
        </w:rPr>
        <w:t>（1）为子公司提供担保：</w:t>
      </w:r>
    </w:p>
    <w:p w:rsidR="004A3B7E" w:rsidRDefault="00452DEF">
      <w:pPr>
        <w:pStyle w:val="a3"/>
        <w:spacing w:before="0" w:beforeAutospacing="0" w:after="0" w:afterAutospacing="0" w:line="400" w:lineRule="atLeast"/>
        <w:ind w:firstLine="360"/>
        <w:jc w:val="both"/>
        <w:divId w:val="269314868"/>
        <w:rPr>
          <w:rFonts w:ascii="Times New Roman" w:hAnsi="Times New Roman" w:cs="Times New Roman"/>
          <w:sz w:val="21"/>
          <w:szCs w:val="21"/>
        </w:rPr>
      </w:pPr>
      <w:r>
        <w:rPr>
          <w:rFonts w:cs="Times New Roman" w:hint="eastAsia"/>
          <w:sz w:val="18"/>
          <w:szCs w:val="18"/>
        </w:rPr>
        <w:t>根据公司与郑州商品交易所、江阴华西化工码头有限公司签署的《担保合同》，公司对江阴华西化工码头有限公司因对二甲苯期货交割业务产生的一切债务和责任承担保证担保责任。</w:t>
      </w:r>
    </w:p>
    <w:p w:rsidR="004A3B7E" w:rsidRDefault="00452DEF">
      <w:pPr>
        <w:pStyle w:val="a3"/>
        <w:spacing w:before="0" w:beforeAutospacing="0" w:after="0" w:afterAutospacing="0" w:line="400" w:lineRule="atLeast"/>
        <w:ind w:firstLine="360"/>
        <w:jc w:val="both"/>
        <w:divId w:val="269314868"/>
        <w:rPr>
          <w:rFonts w:ascii="Times New Roman" w:hAnsi="Times New Roman" w:cs="Times New Roman"/>
          <w:sz w:val="21"/>
          <w:szCs w:val="21"/>
        </w:rPr>
      </w:pPr>
      <w:r>
        <w:rPr>
          <w:rFonts w:cs="Times New Roman" w:hint="eastAsia"/>
          <w:sz w:val="18"/>
          <w:szCs w:val="18"/>
        </w:rPr>
        <w:t>根据公司向大连商品交易所出具的《担保函》，公司对江阴华西化工码头有限公司参与苯乙烯期货储存交割等相关业务所应承担的一切责任，承担全额连带担保责任。</w:t>
      </w:r>
    </w:p>
    <w:p w:rsidR="004A3B7E" w:rsidRDefault="00452DEF">
      <w:pPr>
        <w:pStyle w:val="a3"/>
        <w:spacing w:before="0" w:beforeAutospacing="0" w:after="0" w:afterAutospacing="0" w:line="400" w:lineRule="atLeast"/>
        <w:ind w:firstLine="360"/>
        <w:jc w:val="both"/>
        <w:divId w:val="269314868"/>
        <w:rPr>
          <w:rFonts w:ascii="Times New Roman" w:hAnsi="Times New Roman" w:cs="Times New Roman"/>
          <w:sz w:val="21"/>
          <w:szCs w:val="21"/>
        </w:rPr>
      </w:pPr>
      <w:r>
        <w:rPr>
          <w:rFonts w:cs="Times New Roman" w:hint="eastAsia"/>
          <w:sz w:val="18"/>
          <w:szCs w:val="18"/>
        </w:rPr>
        <w:t>2025年半年度，公司为江阴华西化工码头有限公司上述指定交割库业务提供担保发生额为</w:t>
      </w:r>
      <w:r>
        <w:rPr>
          <w:rFonts w:cs="Times New Roman" w:hint="eastAsia"/>
          <w:color w:val="000000"/>
          <w:sz w:val="18"/>
          <w:szCs w:val="18"/>
        </w:rPr>
        <w:t>6,264.77万元。截</w:t>
      </w:r>
      <w:r>
        <w:rPr>
          <w:rFonts w:cs="Times New Roman" w:hint="eastAsia"/>
          <w:sz w:val="18"/>
          <w:szCs w:val="18"/>
        </w:rPr>
        <w:t>至报告期末，实际担保金额为零元。</w:t>
      </w:r>
    </w:p>
    <w:p w:rsidR="004A3B7E" w:rsidRDefault="00452DEF">
      <w:pPr>
        <w:pStyle w:val="a3"/>
        <w:spacing w:before="0" w:beforeAutospacing="0" w:after="0" w:afterAutospacing="0" w:line="400" w:lineRule="atLeast"/>
        <w:ind w:firstLine="360"/>
        <w:jc w:val="both"/>
        <w:divId w:val="269314868"/>
        <w:rPr>
          <w:rFonts w:ascii="Times New Roman" w:hAnsi="Times New Roman" w:cs="Times New Roman"/>
          <w:sz w:val="21"/>
          <w:szCs w:val="21"/>
        </w:rPr>
      </w:pPr>
      <w:r>
        <w:rPr>
          <w:rFonts w:cs="Times New Roman" w:hint="eastAsia"/>
          <w:sz w:val="18"/>
          <w:szCs w:val="18"/>
        </w:rPr>
        <w:t>（2）公司为其他单位提供担</w:t>
      </w:r>
      <w:r>
        <w:rPr>
          <w:rFonts w:cs="Times New Roman" w:hint="eastAsia"/>
          <w:color w:val="000000"/>
          <w:sz w:val="18"/>
          <w:szCs w:val="18"/>
        </w:rPr>
        <w:t>保情况详见附注十四、5</w:t>
      </w:r>
      <w:r w:rsidR="00121FC9">
        <w:rPr>
          <w:rFonts w:cs="Times New Roman" w:hint="eastAsia"/>
          <w:color w:val="000000"/>
          <w:sz w:val="18"/>
          <w:szCs w:val="18"/>
        </w:rPr>
        <w:t>、(</w:t>
      </w:r>
      <w:r>
        <w:rPr>
          <w:rFonts w:cs="Times New Roman" w:hint="eastAsia"/>
          <w:color w:val="000000"/>
          <w:sz w:val="18"/>
          <w:szCs w:val="18"/>
        </w:rPr>
        <w:t>3</w:t>
      </w:r>
      <w:r w:rsidR="00121FC9">
        <w:rPr>
          <w:rFonts w:cs="Times New Roman" w:hint="eastAsia"/>
          <w:color w:val="000000"/>
          <w:sz w:val="18"/>
          <w:szCs w:val="18"/>
        </w:rPr>
        <w:t>)</w:t>
      </w:r>
      <w:r>
        <w:rPr>
          <w:rFonts w:cs="Times New Roman" w:hint="eastAsia"/>
          <w:color w:val="000000"/>
          <w:sz w:val="18"/>
          <w:szCs w:val="18"/>
        </w:rPr>
        <w:t>本公司作为</w:t>
      </w:r>
      <w:r>
        <w:rPr>
          <w:rFonts w:cs="Times New Roman" w:hint="eastAsia"/>
          <w:sz w:val="18"/>
          <w:szCs w:val="18"/>
        </w:rPr>
        <w:t>担保方的关联担保情况。</w:t>
      </w:r>
    </w:p>
    <w:p w:rsidR="00BD1BB9" w:rsidRDefault="00452DEF">
      <w:pPr>
        <w:keepNext/>
        <w:keepLines/>
        <w:spacing w:before="300" w:after="300" w:line="280" w:lineRule="exact"/>
        <w:outlineLvl w:val="3"/>
        <w:rPr>
          <w:rFonts w:ascii="宋体" w:eastAsia="宋体" w:hAnsi="宋体" w:cs="宋体"/>
          <w:b/>
          <w:bCs/>
          <w:szCs w:val="21"/>
        </w:rPr>
      </w:pPr>
      <w:bookmarkStart w:id="328" w:name="_Toc989195"/>
      <w:r>
        <w:rPr>
          <w:rFonts w:ascii="宋体" w:eastAsia="宋体" w:hAnsi="宋体" w:cs="宋体"/>
          <w:b/>
          <w:bCs/>
          <w:szCs w:val="21"/>
        </w:rPr>
        <w:t>（2） 公司没有需要披露的重要或有事项，也应予以说明</w:t>
      </w:r>
      <w:bookmarkEnd w:id="328"/>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公司不存在需要披露的重要或有事项。</w:t>
      </w:r>
    </w:p>
    <w:p w:rsidR="00BD1BB9" w:rsidRDefault="00452DEF">
      <w:pPr>
        <w:pStyle w:val="2"/>
        <w:spacing w:before="300" w:after="300" w:line="320" w:lineRule="exact"/>
        <w:rPr>
          <w:rFonts w:ascii="宋体" w:eastAsia="宋体" w:hAnsi="宋体" w:cs="宋体"/>
          <w:b/>
          <w:bCs/>
          <w:sz w:val="24"/>
          <w:szCs w:val="24"/>
        </w:rPr>
      </w:pPr>
      <w:bookmarkStart w:id="329" w:name="_Toc989196"/>
      <w:r>
        <w:rPr>
          <w:rFonts w:ascii="宋体" w:eastAsia="宋体" w:hAnsi="宋体" w:cs="宋体"/>
          <w:b/>
          <w:bCs/>
          <w:sz w:val="24"/>
          <w:szCs w:val="24"/>
        </w:rPr>
        <w:lastRenderedPageBreak/>
        <w:t>十七、资产负债表日后事项</w:t>
      </w:r>
      <w:bookmarkEnd w:id="329"/>
    </w:p>
    <w:p w:rsidR="00BD1BB9" w:rsidRDefault="00452DEF">
      <w:pPr>
        <w:pStyle w:val="3"/>
        <w:spacing w:line="280" w:lineRule="exact"/>
        <w:jc w:val="left"/>
        <w:rPr>
          <w:rFonts w:ascii="宋体" w:hAnsi="宋体" w:cs="宋体"/>
          <w:b/>
          <w:bCs/>
        </w:rPr>
      </w:pPr>
      <w:bookmarkStart w:id="330" w:name="_Toc989197"/>
      <w:r>
        <w:rPr>
          <w:rFonts w:ascii="宋体" w:hAnsi="宋体" w:cs="宋体"/>
          <w:b/>
          <w:bCs/>
        </w:rPr>
        <w:t>1、利润分配情况</w:t>
      </w:r>
      <w:bookmarkEnd w:id="330"/>
    </w:p>
    <w:p w:rsidR="00BD1BB9" w:rsidRDefault="00BD1BB9">
      <w:pPr>
        <w:spacing w:line="0" w:lineRule="atLeast"/>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拟分配每10股派息数（元）</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0.2</w:t>
            </w:r>
            <w:r w:rsidR="00965882">
              <w:rPr>
                <w:rFonts w:ascii="宋体" w:eastAsia="宋体" w:hAnsi="宋体" w:cs="宋体" w:hint="eastAsia"/>
                <w:sz w:val="18"/>
                <w:szCs w:val="18"/>
              </w:rPr>
              <w:t>0</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拟分配每10股分红股（股）</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拟分配每10股转增数（股）</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利润分配方案</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rsidP="00240BDB">
            <w:pPr>
              <w:spacing w:line="240" w:lineRule="exact"/>
              <w:jc w:val="both"/>
              <w:rPr>
                <w:rFonts w:ascii="宋体" w:eastAsia="宋体" w:hAnsi="宋体" w:cs="宋体"/>
                <w:sz w:val="18"/>
                <w:szCs w:val="18"/>
              </w:rPr>
            </w:pPr>
            <w:r>
              <w:rPr>
                <w:rFonts w:ascii="宋体" w:eastAsia="宋体" w:hAnsi="宋体" w:cs="宋体"/>
                <w:sz w:val="18"/>
                <w:szCs w:val="18"/>
              </w:rPr>
              <w:t>根据公司第九届董事会第十一次会议审议通过的《关于2025年半年度利润分配方案的议案》，公司按照2025年半年度母公司净利润10%提取法定盈余公积，以期末总股本886,012,887.00股为基数，向全体股东每10股派发现金股利0.20元（含税），合计派发17,720,257.74元。本次分配公司不送红股也不进行资本公积转增股本。</w:t>
            </w:r>
          </w:p>
        </w:tc>
      </w:tr>
    </w:tbl>
    <w:p w:rsidR="00BD1BB9" w:rsidRDefault="00452DEF">
      <w:pPr>
        <w:pStyle w:val="3"/>
        <w:spacing w:line="280" w:lineRule="exact"/>
        <w:jc w:val="left"/>
        <w:rPr>
          <w:rFonts w:ascii="宋体" w:hAnsi="宋体" w:cs="宋体"/>
          <w:b/>
          <w:bCs/>
        </w:rPr>
      </w:pPr>
      <w:bookmarkStart w:id="331" w:name="_Toc989198"/>
      <w:r>
        <w:rPr>
          <w:rFonts w:ascii="宋体" w:hAnsi="宋体" w:cs="宋体"/>
          <w:b/>
          <w:bCs/>
        </w:rPr>
        <w:t>2、其他资产负债表日后事项说明</w:t>
      </w:r>
      <w:bookmarkEnd w:id="331"/>
    </w:p>
    <w:p w:rsidR="004A3B7E" w:rsidRPr="00FC238E" w:rsidRDefault="00452DEF" w:rsidP="00240BDB">
      <w:pPr>
        <w:pStyle w:val="a3"/>
        <w:spacing w:before="0" w:beforeAutospacing="0" w:after="0" w:afterAutospacing="0" w:line="276" w:lineRule="auto"/>
        <w:ind w:firstLine="360"/>
        <w:jc w:val="both"/>
        <w:divId w:val="1296136805"/>
        <w:rPr>
          <w:rFonts w:cs="Times New Roman"/>
          <w:sz w:val="18"/>
          <w:szCs w:val="18"/>
        </w:rPr>
      </w:pPr>
      <w:bookmarkStart w:id="332" w:name="OLE_LINK19"/>
      <w:r>
        <w:rPr>
          <w:rFonts w:cs="Times New Roman" w:hint="eastAsia"/>
          <w:sz w:val="18"/>
          <w:szCs w:val="18"/>
        </w:rPr>
        <w:t>报告期内，公司第九届董事会第九次会议审议通过了《关于转让参股公司股份的议案》，公司控制主体上海启</w:t>
      </w:r>
      <w:proofErr w:type="gramStart"/>
      <w:r>
        <w:rPr>
          <w:rFonts w:cs="Times New Roman" w:hint="eastAsia"/>
          <w:sz w:val="18"/>
          <w:szCs w:val="18"/>
        </w:rPr>
        <w:t>澜与超毅集团</w:t>
      </w:r>
      <w:proofErr w:type="gramEnd"/>
      <w:r>
        <w:rPr>
          <w:rFonts w:cs="Times New Roman" w:hint="eastAsia"/>
          <w:sz w:val="18"/>
          <w:szCs w:val="18"/>
        </w:rPr>
        <w:t>（香港）有限公司、苏州东山精密制造股份有限公司签署</w:t>
      </w:r>
      <w:r w:rsidR="006B6998">
        <w:rPr>
          <w:rFonts w:cs="Times New Roman" w:hint="eastAsia"/>
          <w:sz w:val="18"/>
          <w:szCs w:val="18"/>
        </w:rPr>
        <w:t>了</w:t>
      </w:r>
      <w:r>
        <w:rPr>
          <w:rFonts w:cs="Times New Roman" w:hint="eastAsia"/>
          <w:sz w:val="18"/>
          <w:szCs w:val="18"/>
        </w:rPr>
        <w:t>《关于 Source Photonics Holdings(Cayman) Limited 之股份转让协议》，上海启</w:t>
      </w:r>
      <w:proofErr w:type="gramStart"/>
      <w:r>
        <w:rPr>
          <w:rFonts w:cs="Times New Roman" w:hint="eastAsia"/>
          <w:sz w:val="18"/>
          <w:szCs w:val="18"/>
        </w:rPr>
        <w:t>澜</w:t>
      </w:r>
      <w:proofErr w:type="gramEnd"/>
      <w:r>
        <w:rPr>
          <w:rFonts w:cs="Times New Roman" w:hint="eastAsia"/>
          <w:sz w:val="18"/>
          <w:szCs w:val="18"/>
        </w:rPr>
        <w:t>拟将其持有 6,549.65 万股Source Photonics Holdings (Cayman) Limited股份转让</w:t>
      </w:r>
      <w:proofErr w:type="gramStart"/>
      <w:r>
        <w:rPr>
          <w:rFonts w:cs="Times New Roman" w:hint="eastAsia"/>
          <w:sz w:val="18"/>
          <w:szCs w:val="18"/>
        </w:rPr>
        <w:t>给超毅集团</w:t>
      </w:r>
      <w:proofErr w:type="gramEnd"/>
      <w:r>
        <w:rPr>
          <w:rFonts w:cs="Times New Roman" w:hint="eastAsia"/>
          <w:sz w:val="18"/>
          <w:szCs w:val="18"/>
        </w:rPr>
        <w:t>（香港）有限公司，转让总价款为 20,026.86 万美元。</w:t>
      </w:r>
      <w:r w:rsidRPr="00FC238E">
        <w:rPr>
          <w:rFonts w:cs="Times New Roman" w:hint="eastAsia"/>
          <w:sz w:val="18"/>
          <w:szCs w:val="18"/>
        </w:rPr>
        <w:t>2025年8月6日，公司2025年第一次临时股东会审议通过了《关于转让参股公司股份的议案》。截至目前，上述Source Photonics Holdings (Cayman) Limited股份转让事项尚在进展过程中。</w:t>
      </w:r>
    </w:p>
    <w:p w:rsidR="00FC238E" w:rsidRPr="00FC238E" w:rsidRDefault="00FC238E" w:rsidP="00FC238E">
      <w:pPr>
        <w:pStyle w:val="a3"/>
        <w:spacing w:before="0" w:beforeAutospacing="0" w:after="0" w:afterAutospacing="0" w:line="276" w:lineRule="auto"/>
        <w:ind w:firstLine="360"/>
        <w:jc w:val="both"/>
        <w:divId w:val="1296136805"/>
        <w:rPr>
          <w:rFonts w:cs="Times New Roman"/>
          <w:sz w:val="18"/>
          <w:szCs w:val="18"/>
        </w:rPr>
      </w:pPr>
      <w:bookmarkStart w:id="333" w:name="OLE_LINK17"/>
      <w:bookmarkStart w:id="334" w:name="OLE_LINK18"/>
      <w:r w:rsidRPr="00FC238E">
        <w:rPr>
          <w:rFonts w:cs="Times New Roman" w:hint="eastAsia"/>
          <w:sz w:val="18"/>
          <w:szCs w:val="18"/>
        </w:rPr>
        <w:t>2025年8月6日，公司第九届董事会第十次会议审议通过《关于收购股权暨关联交易的议案》，公司拟以自有资金收购江苏华西村纺织服装有限公司持有的</w:t>
      </w:r>
      <w:bookmarkStart w:id="335" w:name="OLE_LINK27"/>
      <w:bookmarkStart w:id="336" w:name="OLE_LINK28"/>
      <w:proofErr w:type="gramStart"/>
      <w:r w:rsidRPr="00FC238E">
        <w:rPr>
          <w:rFonts w:cs="Times New Roman" w:hint="eastAsia"/>
          <w:sz w:val="18"/>
          <w:szCs w:val="18"/>
        </w:rPr>
        <w:t>江阴市协丰</w:t>
      </w:r>
      <w:proofErr w:type="gramEnd"/>
      <w:r w:rsidRPr="00FC238E">
        <w:rPr>
          <w:rFonts w:cs="Times New Roman" w:hint="eastAsia"/>
          <w:sz w:val="18"/>
          <w:szCs w:val="18"/>
        </w:rPr>
        <w:t>棉麻有限公</w:t>
      </w:r>
      <w:bookmarkEnd w:id="335"/>
      <w:bookmarkEnd w:id="336"/>
      <w:r w:rsidRPr="00FC238E">
        <w:rPr>
          <w:rFonts w:cs="Times New Roman" w:hint="eastAsia"/>
          <w:sz w:val="18"/>
          <w:szCs w:val="18"/>
        </w:rPr>
        <w:t>司100%股权，交易总金额为人民币9,000万元。本次交易完成后，</w:t>
      </w:r>
      <w:proofErr w:type="gramStart"/>
      <w:r w:rsidRPr="00FC238E">
        <w:rPr>
          <w:rFonts w:cs="Times New Roman" w:hint="eastAsia"/>
          <w:sz w:val="18"/>
          <w:szCs w:val="18"/>
        </w:rPr>
        <w:t>江阴市协丰</w:t>
      </w:r>
      <w:proofErr w:type="gramEnd"/>
      <w:r w:rsidRPr="00FC238E">
        <w:rPr>
          <w:rFonts w:cs="Times New Roman" w:hint="eastAsia"/>
          <w:sz w:val="18"/>
          <w:szCs w:val="18"/>
        </w:rPr>
        <w:t>棉麻有限公司将成为公司全资子公司。</w:t>
      </w:r>
      <w:r w:rsidR="008F1C84">
        <w:rPr>
          <w:rFonts w:cs="Times New Roman" w:hint="eastAsia"/>
          <w:sz w:val="18"/>
          <w:szCs w:val="18"/>
        </w:rPr>
        <w:t>截至目前，上述收购事项已完成。</w:t>
      </w:r>
    </w:p>
    <w:p w:rsidR="00BD1BB9" w:rsidRDefault="00452DEF">
      <w:pPr>
        <w:pStyle w:val="2"/>
        <w:spacing w:before="300" w:after="300" w:line="320" w:lineRule="exact"/>
        <w:rPr>
          <w:rFonts w:ascii="宋体" w:eastAsia="宋体" w:hAnsi="宋体" w:cs="宋体"/>
          <w:b/>
          <w:bCs/>
          <w:sz w:val="24"/>
          <w:szCs w:val="24"/>
        </w:rPr>
      </w:pPr>
      <w:bookmarkStart w:id="337" w:name="_Toc989199"/>
      <w:bookmarkEnd w:id="332"/>
      <w:bookmarkEnd w:id="333"/>
      <w:bookmarkEnd w:id="334"/>
      <w:r>
        <w:rPr>
          <w:rFonts w:ascii="宋体" w:eastAsia="宋体" w:hAnsi="宋体" w:cs="宋体"/>
          <w:b/>
          <w:bCs/>
          <w:sz w:val="24"/>
          <w:szCs w:val="24"/>
        </w:rPr>
        <w:t>十八、其他重要事项</w:t>
      </w:r>
      <w:bookmarkEnd w:id="337"/>
    </w:p>
    <w:p w:rsidR="00BD1BB9" w:rsidRDefault="00452DEF">
      <w:pPr>
        <w:pStyle w:val="3"/>
        <w:spacing w:line="280" w:lineRule="exact"/>
        <w:jc w:val="left"/>
        <w:rPr>
          <w:rFonts w:ascii="宋体" w:hAnsi="宋体" w:cs="宋体"/>
          <w:b/>
          <w:bCs/>
        </w:rPr>
      </w:pPr>
      <w:bookmarkStart w:id="338" w:name="_Toc989200"/>
      <w:r>
        <w:rPr>
          <w:rFonts w:ascii="宋体" w:hAnsi="宋体" w:cs="宋体"/>
          <w:b/>
          <w:bCs/>
        </w:rPr>
        <w:t>1、其他</w:t>
      </w:r>
      <w:bookmarkEnd w:id="338"/>
    </w:p>
    <w:p w:rsidR="004A3B7E" w:rsidRDefault="00452DEF">
      <w:pPr>
        <w:pStyle w:val="a3"/>
        <w:spacing w:before="0" w:beforeAutospacing="0" w:after="0" w:afterAutospacing="0" w:line="400" w:lineRule="atLeast"/>
        <w:ind w:firstLine="482"/>
        <w:divId w:val="618028045"/>
        <w:rPr>
          <w:rFonts w:ascii="Times New Roman" w:hAnsi="Times New Roman" w:cs="Times New Roman"/>
          <w:sz w:val="21"/>
          <w:szCs w:val="21"/>
        </w:rPr>
      </w:pPr>
      <w:r>
        <w:rPr>
          <w:rFonts w:cs="Times New Roman" w:hint="eastAsia"/>
          <w:sz w:val="18"/>
          <w:szCs w:val="18"/>
        </w:rPr>
        <w:t>本报告期无需要披露的其他重要事项。</w:t>
      </w:r>
    </w:p>
    <w:p w:rsidR="00BD1BB9" w:rsidRDefault="00452DEF">
      <w:pPr>
        <w:pStyle w:val="2"/>
        <w:spacing w:before="300" w:after="300" w:line="320" w:lineRule="exact"/>
        <w:rPr>
          <w:rFonts w:ascii="宋体" w:eastAsia="宋体" w:hAnsi="宋体" w:cs="宋体"/>
          <w:b/>
          <w:bCs/>
          <w:sz w:val="24"/>
          <w:szCs w:val="24"/>
        </w:rPr>
      </w:pPr>
      <w:bookmarkStart w:id="339" w:name="_Toc989201"/>
      <w:r>
        <w:rPr>
          <w:rFonts w:ascii="宋体" w:eastAsia="宋体" w:hAnsi="宋体" w:cs="宋体"/>
          <w:b/>
          <w:bCs/>
          <w:sz w:val="24"/>
          <w:szCs w:val="24"/>
        </w:rPr>
        <w:t>十九、母公司财务报表主要项目注释</w:t>
      </w:r>
      <w:bookmarkEnd w:id="339"/>
    </w:p>
    <w:p w:rsidR="00BD1BB9" w:rsidRDefault="00452DEF">
      <w:pPr>
        <w:pStyle w:val="3"/>
        <w:spacing w:line="280" w:lineRule="exact"/>
        <w:jc w:val="left"/>
        <w:rPr>
          <w:rFonts w:ascii="宋体" w:hAnsi="宋体" w:cs="宋体"/>
          <w:b/>
          <w:bCs/>
        </w:rPr>
      </w:pPr>
      <w:bookmarkStart w:id="340" w:name="_Toc989202"/>
      <w:r>
        <w:rPr>
          <w:rFonts w:ascii="宋体" w:hAnsi="宋体" w:cs="宋体"/>
          <w:b/>
          <w:bCs/>
        </w:rPr>
        <w:t>1、应收账款</w:t>
      </w:r>
      <w:bookmarkEnd w:id="340"/>
    </w:p>
    <w:p w:rsidR="00BD1BB9" w:rsidRDefault="00452DEF">
      <w:pPr>
        <w:keepNext/>
        <w:keepLines/>
        <w:spacing w:before="300" w:after="300" w:line="280" w:lineRule="exact"/>
        <w:outlineLvl w:val="3"/>
        <w:rPr>
          <w:rFonts w:ascii="宋体" w:eastAsia="宋体" w:hAnsi="宋体" w:cs="宋体"/>
          <w:b/>
          <w:bCs/>
          <w:szCs w:val="21"/>
        </w:rPr>
      </w:pPr>
      <w:bookmarkStart w:id="341" w:name="_Toc989203"/>
      <w:r>
        <w:rPr>
          <w:rFonts w:ascii="宋体" w:eastAsia="宋体" w:hAnsi="宋体" w:cs="宋体"/>
          <w:b/>
          <w:bCs/>
          <w:szCs w:val="21"/>
        </w:rPr>
        <w:t>（1） 按账龄披露</w:t>
      </w:r>
      <w:bookmarkEnd w:id="341"/>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120,331,121.44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105,432,186.08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120,331,121.44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105,432,186.08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9,899,324.90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14,021,301.28</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9,216,448.84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2,538,245.84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1,015,414.11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1,015,414.11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1,015,414.11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1,015,414.11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140,462,309.29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123,007,147.31</w:t>
            </w:r>
          </w:p>
        </w:tc>
      </w:tr>
    </w:tbl>
    <w:p w:rsidR="00BD1BB9" w:rsidRDefault="00452DEF">
      <w:pPr>
        <w:keepNext/>
        <w:keepLines/>
        <w:spacing w:before="300" w:after="300" w:line="280" w:lineRule="exact"/>
        <w:outlineLvl w:val="3"/>
        <w:rPr>
          <w:rFonts w:ascii="宋体" w:eastAsia="宋体" w:hAnsi="宋体" w:cs="宋体"/>
          <w:b/>
          <w:bCs/>
          <w:szCs w:val="21"/>
        </w:rPr>
      </w:pPr>
      <w:bookmarkStart w:id="342" w:name="_Toc989204"/>
      <w:r>
        <w:rPr>
          <w:rFonts w:ascii="宋体" w:eastAsia="宋体" w:hAnsi="宋体" w:cs="宋体"/>
          <w:b/>
          <w:bCs/>
          <w:szCs w:val="21"/>
        </w:rPr>
        <w:t>（2） 按坏账计提方法分类披露</w:t>
      </w:r>
      <w:bookmarkEnd w:id="34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BD1BB9" w:rsidTr="00E54D2A">
        <w:trPr>
          <w:trHeight w:val="240"/>
        </w:trPr>
        <w:tc>
          <w:tcPr>
            <w:tcW w:w="8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rsidTr="00E54D2A">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D1BB9" w:rsidTr="00E54D2A">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rsidTr="00E54D2A">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rsidP="00E54D2A">
            <w:pPr>
              <w:spacing w:before="40" w:after="40" w:line="240" w:lineRule="exact"/>
              <w:rPr>
                <w:rFonts w:ascii="宋体" w:eastAsia="宋体" w:hAnsi="宋体" w:cs="宋体"/>
                <w:sz w:val="18"/>
                <w:szCs w:val="18"/>
              </w:rPr>
            </w:pPr>
            <w:r>
              <w:rPr>
                <w:rFonts w:ascii="宋体" w:eastAsia="宋体" w:hAnsi="宋体" w:cs="宋体"/>
                <w:sz w:val="18"/>
                <w:szCs w:val="18"/>
              </w:rPr>
              <w:t>按</w:t>
            </w:r>
            <w:r w:rsidR="00E54D2A">
              <w:rPr>
                <w:rFonts w:ascii="宋体" w:eastAsia="宋体" w:hAnsi="宋体" w:cs="宋体"/>
                <w:sz w:val="18"/>
                <w:szCs w:val="18"/>
              </w:rPr>
              <w:t>单项</w:t>
            </w:r>
            <w:r>
              <w:rPr>
                <w:rFonts w:ascii="宋体" w:eastAsia="宋体" w:hAnsi="宋体" w:cs="宋体"/>
                <w:sz w:val="18"/>
                <w:szCs w:val="18"/>
              </w:rPr>
              <w:t>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E54D2A">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8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E54D2A" w:rsidTr="0081494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E54D2A" w:rsidRDefault="00E54D2A" w:rsidP="0081494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E54D2A" w:rsidRDefault="00E54D2A" w:rsidP="00814945"/>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E54D2A" w:rsidRDefault="00E54D2A" w:rsidP="0081494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E54D2A" w:rsidRDefault="00E54D2A" w:rsidP="00814945"/>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E54D2A" w:rsidRDefault="00E54D2A" w:rsidP="0081494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E54D2A" w:rsidRDefault="00E54D2A" w:rsidP="0081494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E54D2A" w:rsidRDefault="00E54D2A" w:rsidP="00814945"/>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E54D2A" w:rsidRDefault="00E54D2A" w:rsidP="0081494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E54D2A" w:rsidRDefault="00E54D2A" w:rsidP="00814945"/>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E54D2A" w:rsidRDefault="00E54D2A" w:rsidP="0081494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E54D2A" w:rsidRDefault="00E54D2A" w:rsidP="00814945"/>
        </w:tc>
      </w:tr>
      <w:tr w:rsidR="00E54D2A" w:rsidTr="0081494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E54D2A" w:rsidRDefault="00E54D2A" w:rsidP="00814945">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E54D2A" w:rsidRDefault="00E54D2A" w:rsidP="00814945">
            <w:pPr>
              <w:spacing w:line="240" w:lineRule="exact"/>
              <w:jc w:val="right"/>
              <w:rPr>
                <w:rFonts w:ascii="宋体" w:eastAsia="宋体" w:hAnsi="宋体" w:cs="宋体"/>
                <w:sz w:val="18"/>
                <w:szCs w:val="18"/>
              </w:rPr>
            </w:pPr>
            <w:r>
              <w:rPr>
                <w:rFonts w:ascii="宋体" w:eastAsia="宋体" w:hAnsi="宋体" w:cs="宋体"/>
                <w:sz w:val="18"/>
                <w:szCs w:val="18"/>
              </w:rPr>
              <w:t>140,462,309.29</w:t>
            </w:r>
          </w:p>
        </w:tc>
        <w:tc>
          <w:tcPr>
            <w:tcW w:w="877" w:type="dxa"/>
            <w:tcBorders>
              <w:top w:val="single" w:sz="2" w:space="0" w:color="auto"/>
              <w:left w:val="single" w:sz="2" w:space="0" w:color="auto"/>
              <w:bottom w:val="single" w:sz="2" w:space="0" w:color="auto"/>
              <w:right w:val="single" w:sz="2" w:space="0" w:color="auto"/>
            </w:tcBorders>
            <w:vAlign w:val="center"/>
          </w:tcPr>
          <w:p w:rsidR="00E54D2A" w:rsidRDefault="00E54D2A" w:rsidP="0081494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E54D2A" w:rsidRDefault="00E54D2A" w:rsidP="00814945">
            <w:pPr>
              <w:spacing w:line="240" w:lineRule="exact"/>
              <w:jc w:val="right"/>
              <w:rPr>
                <w:rFonts w:ascii="宋体" w:eastAsia="宋体" w:hAnsi="宋体" w:cs="宋体"/>
                <w:sz w:val="18"/>
                <w:szCs w:val="18"/>
              </w:rPr>
            </w:pPr>
            <w:r>
              <w:rPr>
                <w:rFonts w:ascii="宋体" w:eastAsia="宋体" w:hAnsi="宋体" w:cs="宋体"/>
                <w:sz w:val="18"/>
                <w:szCs w:val="18"/>
              </w:rPr>
              <w:t>10,786,837.32</w:t>
            </w:r>
          </w:p>
        </w:tc>
        <w:tc>
          <w:tcPr>
            <w:tcW w:w="877" w:type="dxa"/>
            <w:tcBorders>
              <w:top w:val="single" w:sz="2" w:space="0" w:color="auto"/>
              <w:left w:val="single" w:sz="2" w:space="0" w:color="auto"/>
              <w:bottom w:val="single" w:sz="2" w:space="0" w:color="auto"/>
              <w:right w:val="single" w:sz="2" w:space="0" w:color="auto"/>
            </w:tcBorders>
            <w:vAlign w:val="center"/>
          </w:tcPr>
          <w:p w:rsidR="00E54D2A" w:rsidRDefault="00E54D2A" w:rsidP="00814945">
            <w:pPr>
              <w:spacing w:line="240" w:lineRule="exact"/>
              <w:jc w:val="right"/>
              <w:rPr>
                <w:rFonts w:ascii="宋体" w:eastAsia="宋体" w:hAnsi="宋体" w:cs="宋体"/>
                <w:sz w:val="18"/>
                <w:szCs w:val="18"/>
              </w:rPr>
            </w:pPr>
            <w:r>
              <w:rPr>
                <w:rFonts w:ascii="宋体" w:eastAsia="宋体" w:hAnsi="宋体" w:cs="宋体"/>
                <w:sz w:val="18"/>
                <w:szCs w:val="18"/>
              </w:rPr>
              <w:t>7.68%</w:t>
            </w:r>
          </w:p>
        </w:tc>
        <w:tc>
          <w:tcPr>
            <w:tcW w:w="876" w:type="dxa"/>
            <w:tcBorders>
              <w:top w:val="single" w:sz="2" w:space="0" w:color="auto"/>
              <w:left w:val="single" w:sz="2" w:space="0" w:color="auto"/>
              <w:bottom w:val="single" w:sz="2" w:space="0" w:color="auto"/>
              <w:right w:val="single" w:sz="2" w:space="0" w:color="auto"/>
            </w:tcBorders>
            <w:vAlign w:val="center"/>
          </w:tcPr>
          <w:p w:rsidR="00E54D2A" w:rsidRDefault="00E54D2A" w:rsidP="00814945">
            <w:pPr>
              <w:spacing w:line="240" w:lineRule="exact"/>
              <w:jc w:val="right"/>
              <w:rPr>
                <w:rFonts w:ascii="宋体" w:eastAsia="宋体" w:hAnsi="宋体" w:cs="宋体"/>
                <w:sz w:val="18"/>
                <w:szCs w:val="18"/>
              </w:rPr>
            </w:pPr>
            <w:r>
              <w:rPr>
                <w:rFonts w:ascii="宋体" w:eastAsia="宋体" w:hAnsi="宋体" w:cs="宋体"/>
                <w:sz w:val="18"/>
                <w:szCs w:val="18"/>
              </w:rPr>
              <w:t>129,675,471.97</w:t>
            </w:r>
          </w:p>
        </w:tc>
        <w:tc>
          <w:tcPr>
            <w:tcW w:w="876" w:type="dxa"/>
            <w:tcBorders>
              <w:top w:val="single" w:sz="2" w:space="0" w:color="auto"/>
              <w:left w:val="single" w:sz="2" w:space="0" w:color="auto"/>
              <w:bottom w:val="single" w:sz="2" w:space="0" w:color="auto"/>
              <w:right w:val="single" w:sz="2" w:space="0" w:color="auto"/>
            </w:tcBorders>
            <w:vAlign w:val="center"/>
          </w:tcPr>
          <w:p w:rsidR="00E54D2A" w:rsidRDefault="00E54D2A" w:rsidP="00814945">
            <w:pPr>
              <w:spacing w:line="240" w:lineRule="exact"/>
              <w:jc w:val="right"/>
              <w:rPr>
                <w:rFonts w:ascii="宋体" w:eastAsia="宋体" w:hAnsi="宋体" w:cs="宋体"/>
                <w:sz w:val="18"/>
                <w:szCs w:val="18"/>
              </w:rPr>
            </w:pPr>
            <w:r>
              <w:rPr>
                <w:rFonts w:ascii="宋体" w:eastAsia="宋体" w:hAnsi="宋体" w:cs="宋体"/>
                <w:sz w:val="18"/>
                <w:szCs w:val="18"/>
              </w:rPr>
              <w:t>123,007,147.31</w:t>
            </w:r>
          </w:p>
        </w:tc>
        <w:tc>
          <w:tcPr>
            <w:tcW w:w="877" w:type="dxa"/>
            <w:tcBorders>
              <w:top w:val="single" w:sz="2" w:space="0" w:color="auto"/>
              <w:left w:val="single" w:sz="2" w:space="0" w:color="auto"/>
              <w:bottom w:val="single" w:sz="2" w:space="0" w:color="auto"/>
              <w:right w:val="single" w:sz="2" w:space="0" w:color="auto"/>
            </w:tcBorders>
            <w:vAlign w:val="center"/>
          </w:tcPr>
          <w:p w:rsidR="00E54D2A" w:rsidRDefault="00E54D2A" w:rsidP="0081494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E54D2A" w:rsidRDefault="00E54D2A" w:rsidP="00814945">
            <w:pPr>
              <w:spacing w:line="240" w:lineRule="exact"/>
              <w:jc w:val="right"/>
              <w:rPr>
                <w:rFonts w:ascii="宋体" w:eastAsia="宋体" w:hAnsi="宋体" w:cs="宋体"/>
                <w:sz w:val="18"/>
                <w:szCs w:val="18"/>
              </w:rPr>
            </w:pPr>
            <w:r>
              <w:rPr>
                <w:rFonts w:ascii="宋体" w:eastAsia="宋体" w:hAnsi="宋体" w:cs="宋体"/>
                <w:sz w:val="18"/>
                <w:szCs w:val="18"/>
              </w:rPr>
              <w:t>8,450,627.29</w:t>
            </w:r>
          </w:p>
        </w:tc>
        <w:tc>
          <w:tcPr>
            <w:tcW w:w="877" w:type="dxa"/>
            <w:tcBorders>
              <w:top w:val="single" w:sz="2" w:space="0" w:color="auto"/>
              <w:left w:val="single" w:sz="2" w:space="0" w:color="auto"/>
              <w:bottom w:val="single" w:sz="2" w:space="0" w:color="auto"/>
              <w:right w:val="single" w:sz="2" w:space="0" w:color="auto"/>
            </w:tcBorders>
            <w:vAlign w:val="center"/>
          </w:tcPr>
          <w:p w:rsidR="00E54D2A" w:rsidRDefault="00E54D2A" w:rsidP="00814945">
            <w:pPr>
              <w:spacing w:line="240" w:lineRule="exact"/>
              <w:jc w:val="right"/>
              <w:rPr>
                <w:rFonts w:ascii="宋体" w:eastAsia="宋体" w:hAnsi="宋体" w:cs="宋体"/>
                <w:sz w:val="18"/>
                <w:szCs w:val="18"/>
              </w:rPr>
            </w:pPr>
            <w:r>
              <w:rPr>
                <w:rFonts w:ascii="宋体" w:eastAsia="宋体" w:hAnsi="宋体" w:cs="宋体"/>
                <w:sz w:val="18"/>
                <w:szCs w:val="18"/>
              </w:rPr>
              <w:t>6.87%</w:t>
            </w:r>
          </w:p>
        </w:tc>
        <w:tc>
          <w:tcPr>
            <w:tcW w:w="876" w:type="dxa"/>
            <w:tcBorders>
              <w:top w:val="single" w:sz="2" w:space="0" w:color="auto"/>
              <w:left w:val="single" w:sz="2" w:space="0" w:color="auto"/>
              <w:bottom w:val="single" w:sz="2" w:space="0" w:color="auto"/>
              <w:right w:val="single" w:sz="2" w:space="0" w:color="auto"/>
            </w:tcBorders>
            <w:vAlign w:val="center"/>
          </w:tcPr>
          <w:p w:rsidR="00E54D2A" w:rsidRDefault="00E54D2A" w:rsidP="00814945">
            <w:pPr>
              <w:spacing w:line="240" w:lineRule="exact"/>
              <w:jc w:val="right"/>
              <w:rPr>
                <w:rFonts w:ascii="宋体" w:eastAsia="宋体" w:hAnsi="宋体" w:cs="宋体"/>
                <w:sz w:val="18"/>
                <w:szCs w:val="18"/>
              </w:rPr>
            </w:pPr>
            <w:r>
              <w:rPr>
                <w:rFonts w:ascii="宋体" w:eastAsia="宋体" w:hAnsi="宋体" w:cs="宋体"/>
                <w:sz w:val="18"/>
                <w:szCs w:val="18"/>
              </w:rPr>
              <w:t>114,556,520.02</w:t>
            </w:r>
          </w:p>
        </w:tc>
      </w:tr>
      <w:tr w:rsidR="00BD1BB9" w:rsidTr="00E54D2A">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rsidTr="00E54D2A">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140,462,309.29</w:t>
            </w:r>
          </w:p>
        </w:tc>
        <w:tc>
          <w:tcPr>
            <w:tcW w:w="8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10,786,837.32</w:t>
            </w:r>
          </w:p>
        </w:tc>
        <w:tc>
          <w:tcPr>
            <w:tcW w:w="8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7.68%</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129,675,471.97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123,007,147.31</w:t>
            </w:r>
          </w:p>
        </w:tc>
        <w:tc>
          <w:tcPr>
            <w:tcW w:w="8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8,450,627.29</w:t>
            </w:r>
          </w:p>
        </w:tc>
        <w:tc>
          <w:tcPr>
            <w:tcW w:w="8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114,556,520.02</w:t>
            </w:r>
          </w:p>
        </w:tc>
      </w:tr>
      <w:tr w:rsidR="00BD1BB9" w:rsidTr="00E54D2A">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140,462,309.29</w:t>
            </w:r>
          </w:p>
        </w:tc>
        <w:tc>
          <w:tcPr>
            <w:tcW w:w="8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10,786,837.32</w:t>
            </w:r>
          </w:p>
        </w:tc>
        <w:tc>
          <w:tcPr>
            <w:tcW w:w="8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7.68%</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129,675,471.97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123,007,147.31</w:t>
            </w:r>
          </w:p>
        </w:tc>
        <w:tc>
          <w:tcPr>
            <w:tcW w:w="8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8,450,627.29</w:t>
            </w:r>
          </w:p>
        </w:tc>
        <w:tc>
          <w:tcPr>
            <w:tcW w:w="8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114,556,520.02</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按组合计提坏账准备类别名称：</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D1BB9">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bookmarkStart w:id="343" w:name="OLE_LINK110"/>
            <w:bookmarkStart w:id="344" w:name="OLE_LINK111"/>
            <w:r>
              <w:rPr>
                <w:rFonts w:ascii="宋体" w:eastAsia="宋体" w:hAnsi="宋体" w:cs="宋体"/>
                <w:sz w:val="18"/>
                <w:szCs w:val="18"/>
              </w:rPr>
              <w:t>按账龄组合计提坏账准备</w:t>
            </w:r>
            <w:bookmarkEnd w:id="343"/>
            <w:bookmarkEnd w:id="344"/>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140,462,309.29</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10,786,837.32</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7.68%</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140,462,309.29</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10,786,837.32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4A3B7E" w:rsidRDefault="00452DEF">
      <w:pPr>
        <w:pStyle w:val="a3"/>
        <w:divId w:val="305353698"/>
      </w:pPr>
      <w:r>
        <w:rPr>
          <w:rFonts w:hint="eastAsia"/>
          <w:sz w:val="18"/>
          <w:szCs w:val="18"/>
        </w:rPr>
        <w:t>  参考历史信用损失经验，结合当前状况以及对未来经济账龄组合。本组合以应收款项的账龄作为信用风险特征状况的预测，编制应收款项账龄与预期信用损失率对照表，计算预期信用损失。</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keepNext/>
        <w:keepLines/>
        <w:spacing w:before="300" w:after="300" w:line="280" w:lineRule="exact"/>
        <w:outlineLvl w:val="3"/>
        <w:rPr>
          <w:rFonts w:ascii="宋体" w:eastAsia="宋体" w:hAnsi="宋体" w:cs="宋体"/>
          <w:b/>
          <w:bCs/>
          <w:szCs w:val="21"/>
        </w:rPr>
      </w:pPr>
      <w:bookmarkStart w:id="345" w:name="_Toc989205"/>
      <w:r>
        <w:rPr>
          <w:rFonts w:ascii="宋体" w:eastAsia="宋体" w:hAnsi="宋体" w:cs="宋体"/>
          <w:b/>
          <w:bCs/>
          <w:szCs w:val="21"/>
        </w:rPr>
        <w:t>（3） 本期计提、收回或转回的坏账准备情况</w:t>
      </w:r>
      <w:bookmarkEnd w:id="345"/>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p w:rsidR="003F5185" w:rsidRDefault="003F5185">
      <w:pPr>
        <w:spacing w:before="120" w:after="12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8,450,627.29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2,336,210.03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10,786,837.32</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8,450,627.29</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2,336,210.03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10,786,837.32</w:t>
            </w:r>
          </w:p>
        </w:tc>
      </w:tr>
    </w:tbl>
    <w:p w:rsidR="00BD1BB9" w:rsidRDefault="00452DEF">
      <w:pPr>
        <w:keepNext/>
        <w:keepLines/>
        <w:spacing w:before="300" w:after="300" w:line="280" w:lineRule="exact"/>
        <w:outlineLvl w:val="3"/>
        <w:rPr>
          <w:rFonts w:ascii="宋体" w:eastAsia="宋体" w:hAnsi="宋体" w:cs="宋体"/>
          <w:b/>
          <w:bCs/>
          <w:szCs w:val="21"/>
        </w:rPr>
      </w:pPr>
      <w:bookmarkStart w:id="346" w:name="_Toc989206"/>
      <w:r>
        <w:rPr>
          <w:rFonts w:ascii="宋体" w:eastAsia="宋体" w:hAnsi="宋体" w:cs="宋体"/>
          <w:b/>
          <w:bCs/>
          <w:szCs w:val="21"/>
        </w:rPr>
        <w:t>（4） 本期实际核销的应收账款情况</w:t>
      </w:r>
      <w:bookmarkEnd w:id="346"/>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实际核销的应收账款</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BD1BB9" w:rsidRDefault="00452DEF">
      <w:pPr>
        <w:keepNext/>
        <w:keepLines/>
        <w:spacing w:before="300" w:after="300" w:line="280" w:lineRule="exact"/>
        <w:outlineLvl w:val="3"/>
        <w:rPr>
          <w:rFonts w:ascii="宋体" w:eastAsia="宋体" w:hAnsi="宋体" w:cs="宋体"/>
          <w:b/>
          <w:bCs/>
          <w:szCs w:val="21"/>
        </w:rPr>
      </w:pPr>
      <w:bookmarkStart w:id="347" w:name="_Toc989207"/>
      <w:r>
        <w:rPr>
          <w:rFonts w:ascii="宋体" w:eastAsia="宋体" w:hAnsi="宋体" w:cs="宋体"/>
          <w:b/>
          <w:bCs/>
          <w:szCs w:val="21"/>
        </w:rPr>
        <w:t>（5） 按欠款方归集的期末余额前五名的应收账款和合同资产情况</w:t>
      </w:r>
      <w:bookmarkEnd w:id="347"/>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20,935,835.39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20,935,835.39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14.90%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1,046,791.77</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18,481,788.06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18,481,788.06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13.16%</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3,564,684.19</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17,489,691.08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17,489,691.08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12.45%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874,484.55</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17,159,436.23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17,159,436.23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12.22%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857,971.81</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9,687,554.42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9,687,554.42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484,377.72</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83,754,305.18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83,754,305.18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59.63%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6,828,310.04</w:t>
            </w:r>
          </w:p>
        </w:tc>
      </w:tr>
    </w:tbl>
    <w:p w:rsidR="00BD1BB9" w:rsidRDefault="00452DEF">
      <w:pPr>
        <w:pStyle w:val="3"/>
        <w:spacing w:line="280" w:lineRule="exact"/>
        <w:jc w:val="left"/>
        <w:rPr>
          <w:rFonts w:ascii="宋体" w:hAnsi="宋体" w:cs="宋体"/>
          <w:b/>
          <w:bCs/>
        </w:rPr>
      </w:pPr>
      <w:bookmarkStart w:id="348" w:name="_Toc989208"/>
      <w:r>
        <w:rPr>
          <w:rFonts w:ascii="宋体" w:hAnsi="宋体" w:cs="宋体"/>
          <w:b/>
          <w:bCs/>
        </w:rPr>
        <w:t>2、其他应收款</w:t>
      </w:r>
      <w:bookmarkEnd w:id="348"/>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576,661.24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553,756.93</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576,661.24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553,756.93</w:t>
            </w:r>
          </w:p>
        </w:tc>
      </w:tr>
    </w:tbl>
    <w:p w:rsidR="00BD1BB9" w:rsidRDefault="00452DEF">
      <w:pPr>
        <w:keepNext/>
        <w:keepLines/>
        <w:spacing w:before="300" w:after="300" w:line="280" w:lineRule="exact"/>
        <w:outlineLvl w:val="3"/>
        <w:rPr>
          <w:rFonts w:ascii="宋体" w:eastAsia="宋体" w:hAnsi="宋体" w:cs="宋体"/>
          <w:b/>
          <w:bCs/>
          <w:sz w:val="18"/>
          <w:szCs w:val="18"/>
        </w:rPr>
      </w:pPr>
      <w:bookmarkStart w:id="349" w:name="_Toc989209"/>
      <w:r>
        <w:rPr>
          <w:rFonts w:ascii="宋体" w:eastAsia="宋体" w:hAnsi="宋体" w:cs="宋体"/>
          <w:b/>
          <w:bCs/>
          <w:sz w:val="18"/>
          <w:szCs w:val="18"/>
        </w:rPr>
        <w:t>（1） 其他应收款</w:t>
      </w:r>
      <w:bookmarkEnd w:id="349"/>
    </w:p>
    <w:p w:rsidR="00BD1BB9" w:rsidRDefault="00452DEF">
      <w:pPr>
        <w:keepNext/>
        <w:keepLines/>
        <w:spacing w:before="300" w:after="300" w:line="280" w:lineRule="exact"/>
        <w:outlineLvl w:val="4"/>
        <w:rPr>
          <w:rFonts w:ascii="宋体" w:eastAsia="宋体" w:hAnsi="宋体" w:cs="宋体"/>
          <w:b/>
          <w:bCs/>
          <w:sz w:val="18"/>
          <w:szCs w:val="18"/>
        </w:rPr>
      </w:pPr>
      <w:bookmarkStart w:id="350" w:name="_Toc989210"/>
      <w:r>
        <w:rPr>
          <w:rFonts w:ascii="宋体" w:eastAsia="宋体" w:hAnsi="宋体" w:cs="宋体"/>
          <w:b/>
          <w:bCs/>
          <w:sz w:val="18"/>
          <w:szCs w:val="18"/>
        </w:rPr>
        <w:t>1） 其他应收款按款项性质分类情况</w:t>
      </w:r>
      <w:bookmarkEnd w:id="350"/>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437,538.15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409,586.24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8,082,388.05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8,056,436.14</w:t>
            </w:r>
          </w:p>
        </w:tc>
      </w:tr>
    </w:tbl>
    <w:p w:rsidR="00BD1BB9" w:rsidRDefault="00452DEF">
      <w:pPr>
        <w:keepNext/>
        <w:keepLines/>
        <w:spacing w:before="300" w:after="300" w:line="280" w:lineRule="exact"/>
        <w:outlineLvl w:val="4"/>
        <w:rPr>
          <w:rFonts w:ascii="宋体" w:eastAsia="宋体" w:hAnsi="宋体" w:cs="宋体"/>
          <w:b/>
          <w:bCs/>
          <w:sz w:val="18"/>
          <w:szCs w:val="18"/>
        </w:rPr>
      </w:pPr>
      <w:bookmarkStart w:id="351" w:name="_Toc989211"/>
      <w:r>
        <w:rPr>
          <w:rFonts w:ascii="宋体" w:eastAsia="宋体" w:hAnsi="宋体" w:cs="宋体"/>
          <w:b/>
          <w:bCs/>
          <w:sz w:val="18"/>
          <w:szCs w:val="18"/>
        </w:rPr>
        <w:lastRenderedPageBreak/>
        <w:t>2） 按账龄披露</w:t>
      </w:r>
      <w:bookmarkEnd w:id="351"/>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447,538.15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456,586.24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447,538.15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456,586.24</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35,000.00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7,599,849.90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7,599,849.90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8,082,388.05</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8,056,436.14</w:t>
            </w:r>
          </w:p>
        </w:tc>
      </w:tr>
    </w:tbl>
    <w:p w:rsidR="00BD1BB9" w:rsidRDefault="00452DEF">
      <w:pPr>
        <w:keepNext/>
        <w:keepLines/>
        <w:spacing w:before="300" w:after="300" w:line="280" w:lineRule="exact"/>
        <w:outlineLvl w:val="4"/>
        <w:rPr>
          <w:rFonts w:ascii="宋体" w:eastAsia="宋体" w:hAnsi="宋体" w:cs="宋体"/>
          <w:b/>
          <w:bCs/>
          <w:sz w:val="18"/>
          <w:szCs w:val="18"/>
        </w:rPr>
      </w:pPr>
      <w:bookmarkStart w:id="352" w:name="_Toc989212"/>
      <w:r>
        <w:rPr>
          <w:rFonts w:ascii="宋体" w:eastAsia="宋体" w:hAnsi="宋体" w:cs="宋体"/>
          <w:b/>
          <w:bCs/>
          <w:sz w:val="18"/>
          <w:szCs w:val="18"/>
        </w:rPr>
        <w:t>3） 按坏账计提方法分类披露</w:t>
      </w:r>
      <w:bookmarkEnd w:id="352"/>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BD1BB9">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D1BB9">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86.61%</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84.49%</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1,082,538.15</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13.39%</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505,876.91</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46.73%</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576,661.24</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1,056,586.24</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13.11%</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502,829.31</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47.59%</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553,756.93</w:t>
            </w:r>
          </w:p>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1,082,538.15</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13.39%</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505,876.91</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46.73%</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576,661.24</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1,056,586.24</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13.11%</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502,829.31</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47.59%</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553,756.93</w:t>
            </w:r>
          </w:p>
        </w:tc>
      </w:tr>
      <w:tr w:rsidR="00BD1BB9">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8,082,388.05</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7,505,726.81</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92.87%</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576,661.24</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8,056,436.14</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7,502,679.21</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93.13%</w:t>
            </w:r>
          </w:p>
        </w:tc>
        <w:tc>
          <w:tcPr>
            <w:tcW w:w="87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553,756.93</w:t>
            </w:r>
          </w:p>
        </w:tc>
      </w:tr>
    </w:tbl>
    <w:p w:rsidR="00E54D2A" w:rsidRDefault="00E54D2A">
      <w:pPr>
        <w:spacing w:line="240" w:lineRule="exact"/>
        <w:rPr>
          <w:rFonts w:ascii="宋体" w:eastAsia="宋体" w:hAnsi="宋体" w:cs="宋体"/>
          <w:sz w:val="18"/>
          <w:szCs w:val="18"/>
        </w:rPr>
      </w:pPr>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按单项计提坏账准备类别名称：按单项计提坏账准备</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预计无法收回</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bl>
    <w:p w:rsidR="00E54D2A" w:rsidRDefault="00E54D2A">
      <w:pPr>
        <w:spacing w:line="240" w:lineRule="exact"/>
        <w:rPr>
          <w:rFonts w:ascii="宋体" w:eastAsia="宋体" w:hAnsi="宋体" w:cs="宋体"/>
          <w:sz w:val="18"/>
          <w:szCs w:val="18"/>
        </w:rPr>
      </w:pPr>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按组合计提坏账准备类别名称：</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D1BB9">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D1BB9" w:rsidRDefault="00240BDB">
            <w:pPr>
              <w:spacing w:line="240" w:lineRule="exact"/>
              <w:rPr>
                <w:rFonts w:ascii="宋体" w:eastAsia="宋体" w:hAnsi="宋体" w:cs="宋体"/>
                <w:sz w:val="18"/>
                <w:szCs w:val="18"/>
              </w:rPr>
            </w:pPr>
            <w:r>
              <w:rPr>
                <w:rFonts w:ascii="宋体" w:eastAsia="宋体" w:hAnsi="宋体" w:cs="宋体"/>
                <w:sz w:val="18"/>
                <w:szCs w:val="18"/>
              </w:rPr>
              <w:lastRenderedPageBreak/>
              <w:t>按账龄组合计提坏账准备</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1,082,538.15</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505,876.91</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46.73%</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1,082,538.15</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505,876.91</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按预期信用损失一般模型计提坏账准备：</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D1BB9">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2025年1月1日余额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502,829.31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7,502,679.21</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2025年1月1日余额在本期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--转入第二阶段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--转回第二阶段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--转回第一阶段</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3,047.60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3,047.60</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本期转销</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2025年6月30日余额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505,876.91</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7,505,726.81</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keepNext/>
        <w:keepLines/>
        <w:spacing w:before="300" w:after="300" w:line="280" w:lineRule="exact"/>
        <w:outlineLvl w:val="4"/>
        <w:rPr>
          <w:rFonts w:ascii="宋体" w:eastAsia="宋体" w:hAnsi="宋体" w:cs="宋体"/>
          <w:b/>
          <w:bCs/>
          <w:sz w:val="18"/>
          <w:szCs w:val="18"/>
        </w:rPr>
      </w:pPr>
      <w:bookmarkStart w:id="353" w:name="_Toc989213"/>
      <w:r>
        <w:rPr>
          <w:rFonts w:ascii="宋体" w:eastAsia="宋体" w:hAnsi="宋体" w:cs="宋体"/>
          <w:b/>
          <w:bCs/>
          <w:sz w:val="18"/>
          <w:szCs w:val="18"/>
        </w:rPr>
        <w:t>4） 本期计提、收回或转回的坏账准备情况</w:t>
      </w:r>
      <w:bookmarkEnd w:id="353"/>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7,502,679.21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3,047.60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7,505,726.81</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7,502,679.21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3,047.60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7,505,726.81</w:t>
            </w:r>
          </w:p>
        </w:tc>
      </w:tr>
    </w:tbl>
    <w:p w:rsidR="00BD1BB9" w:rsidRDefault="00452DEF">
      <w:pPr>
        <w:keepNext/>
        <w:keepLines/>
        <w:spacing w:before="300" w:after="300" w:line="280" w:lineRule="exact"/>
        <w:outlineLvl w:val="4"/>
        <w:rPr>
          <w:rFonts w:ascii="宋体" w:eastAsia="宋体" w:hAnsi="宋体" w:cs="宋体"/>
          <w:b/>
          <w:bCs/>
          <w:sz w:val="18"/>
          <w:szCs w:val="18"/>
        </w:rPr>
      </w:pPr>
      <w:bookmarkStart w:id="354" w:name="_Toc989214"/>
      <w:r>
        <w:rPr>
          <w:rFonts w:ascii="宋体" w:eastAsia="宋体" w:hAnsi="宋体" w:cs="宋体"/>
          <w:b/>
          <w:bCs/>
          <w:sz w:val="18"/>
          <w:szCs w:val="18"/>
        </w:rPr>
        <w:t>5） 本期实际核销的其他应收款情况</w:t>
      </w:r>
      <w:bookmarkEnd w:id="354"/>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D1BB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BD1BB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实际核销的其他应收款</w:t>
            </w:r>
          </w:p>
        </w:tc>
        <w:tc>
          <w:tcPr>
            <w:tcW w:w="482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BD1BB9" w:rsidRDefault="00452DEF">
      <w:pPr>
        <w:keepNext/>
        <w:keepLines/>
        <w:spacing w:before="300" w:after="300" w:line="280" w:lineRule="exact"/>
        <w:outlineLvl w:val="4"/>
        <w:rPr>
          <w:rFonts w:ascii="宋体" w:eastAsia="宋体" w:hAnsi="宋体" w:cs="宋体"/>
          <w:b/>
          <w:bCs/>
          <w:sz w:val="18"/>
          <w:szCs w:val="18"/>
        </w:rPr>
      </w:pPr>
      <w:bookmarkStart w:id="355" w:name="_Toc989215"/>
      <w:r>
        <w:rPr>
          <w:rFonts w:ascii="宋体" w:eastAsia="宋体" w:hAnsi="宋体" w:cs="宋体"/>
          <w:b/>
          <w:bCs/>
          <w:sz w:val="18"/>
          <w:szCs w:val="18"/>
        </w:rPr>
        <w:t>6） 按欠款方归集的期末余额前五名的其他应收款情况</w:t>
      </w:r>
      <w:bookmarkEnd w:id="355"/>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FC238E" w:rsidRDefault="00FC238E">
      <w:pPr>
        <w:spacing w:before="40" w:after="40" w:line="240" w:lineRule="exact"/>
        <w:jc w:val="right"/>
        <w:rPr>
          <w:rFonts w:ascii="宋体" w:eastAsia="宋体" w:hAnsi="宋体" w:cs="宋体"/>
          <w:sz w:val="18"/>
          <w:szCs w:val="18"/>
        </w:rPr>
      </w:pPr>
    </w:p>
    <w:p w:rsidR="00FC238E" w:rsidRDefault="00FC238E">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86.61%</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6,999,849.90</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4-5年</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7.42%</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480,000.00</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72,162.00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0.89%</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3,608.10</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备用金</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30,000.00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0.37%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1,500.00</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22,744.00</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1,137.20</w:t>
            </w:r>
          </w:p>
        </w:tc>
      </w:tr>
      <w:tr w:rsidR="00BD1BB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7,724,755.90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95.57%</w:t>
            </w:r>
          </w:p>
        </w:tc>
        <w:tc>
          <w:tcPr>
            <w:tcW w:w="1606"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7,486,095.20</w:t>
            </w:r>
          </w:p>
        </w:tc>
      </w:tr>
    </w:tbl>
    <w:p w:rsidR="00BD1BB9" w:rsidRDefault="00452DEF">
      <w:pPr>
        <w:pStyle w:val="3"/>
        <w:spacing w:line="280" w:lineRule="exact"/>
        <w:jc w:val="left"/>
        <w:rPr>
          <w:rFonts w:ascii="宋体" w:hAnsi="宋体" w:cs="宋体"/>
          <w:b/>
          <w:bCs/>
        </w:rPr>
      </w:pPr>
      <w:bookmarkStart w:id="356" w:name="_Toc989216"/>
      <w:r>
        <w:rPr>
          <w:rFonts w:ascii="宋体" w:hAnsi="宋体" w:cs="宋体"/>
          <w:b/>
          <w:bCs/>
        </w:rPr>
        <w:t>3、长期股权投资</w:t>
      </w:r>
      <w:bookmarkEnd w:id="356"/>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D1BB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2,137,953,822.91</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对联营、合营企业投资</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2,638,350,739.52</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205,740,723.96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2,432,610,015.56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2,607,841,407.70</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205,740,723.96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2,402,100,683.74</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4,776,304,562.43</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205,740,723.96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4,570,563,838.47</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4,745,795,230.61</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205,740,723.96</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4,540,054,506.65</w:t>
            </w:r>
          </w:p>
        </w:tc>
      </w:tr>
    </w:tbl>
    <w:p w:rsidR="00BD1BB9" w:rsidRDefault="00452DEF">
      <w:pPr>
        <w:keepNext/>
        <w:keepLines/>
        <w:spacing w:before="300" w:after="300" w:line="280" w:lineRule="exact"/>
        <w:outlineLvl w:val="3"/>
        <w:rPr>
          <w:rFonts w:ascii="宋体" w:eastAsia="宋体" w:hAnsi="宋体" w:cs="宋体"/>
          <w:b/>
          <w:bCs/>
          <w:szCs w:val="21"/>
        </w:rPr>
      </w:pPr>
      <w:bookmarkStart w:id="357" w:name="_Toc989217"/>
      <w:r>
        <w:rPr>
          <w:rFonts w:ascii="宋体" w:eastAsia="宋体" w:hAnsi="宋体" w:cs="宋体"/>
          <w:b/>
          <w:bCs/>
          <w:szCs w:val="21"/>
        </w:rPr>
        <w:t>（1） 对子公司投资</w:t>
      </w:r>
      <w:bookmarkEnd w:id="357"/>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BD1BB9">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BD1BB9">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vMerge/>
            <w:tcBorders>
              <w:top w:val="single" w:sz="2" w:space="0" w:color="auto"/>
              <w:left w:val="single" w:sz="2" w:space="0" w:color="auto"/>
              <w:bottom w:val="single" w:sz="2" w:space="0" w:color="auto"/>
              <w:right w:val="single" w:sz="2" w:space="0" w:color="auto"/>
            </w:tcBorders>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410,453,822.91</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410,453,822.91</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725,000,000.00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725,000,000.00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上海启</w:t>
            </w:r>
            <w:proofErr w:type="gramStart"/>
            <w:r>
              <w:rPr>
                <w:rFonts w:ascii="宋体" w:eastAsia="宋体" w:hAnsi="宋体" w:cs="宋体"/>
                <w:sz w:val="18"/>
                <w:szCs w:val="18"/>
              </w:rPr>
              <w:t>澜</w:t>
            </w:r>
            <w:proofErr w:type="gramEnd"/>
            <w:r>
              <w:rPr>
                <w:rFonts w:ascii="宋体" w:eastAsia="宋体" w:hAnsi="宋体" w:cs="宋体"/>
                <w:sz w:val="18"/>
                <w:szCs w:val="18"/>
              </w:rPr>
              <w:t>企业管理咨询合伙企业（有限合伙）</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962,500,000.00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962,500,000.00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bl>
    <w:p w:rsidR="00BD1BB9" w:rsidRDefault="00452DEF">
      <w:pPr>
        <w:keepNext/>
        <w:keepLines/>
        <w:spacing w:before="300" w:after="300" w:line="280" w:lineRule="exact"/>
        <w:outlineLvl w:val="3"/>
        <w:rPr>
          <w:rFonts w:ascii="宋体" w:eastAsia="宋体" w:hAnsi="宋体" w:cs="宋体"/>
          <w:b/>
          <w:bCs/>
          <w:szCs w:val="21"/>
        </w:rPr>
      </w:pPr>
      <w:bookmarkStart w:id="358" w:name="_Toc989218"/>
      <w:r>
        <w:rPr>
          <w:rFonts w:ascii="宋体" w:eastAsia="宋体" w:hAnsi="宋体" w:cs="宋体"/>
          <w:b/>
          <w:bCs/>
          <w:szCs w:val="21"/>
        </w:rPr>
        <w:t>（2） 对联营、合营企业投资</w:t>
      </w:r>
      <w:bookmarkEnd w:id="358"/>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1"/>
        <w:gridCol w:w="741"/>
        <w:gridCol w:w="741"/>
        <w:gridCol w:w="741"/>
        <w:gridCol w:w="745"/>
        <w:gridCol w:w="741"/>
        <w:gridCol w:w="743"/>
      </w:tblGrid>
      <w:tr w:rsidR="00BD1BB9">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w:t>
            </w:r>
            <w:r>
              <w:rPr>
                <w:rFonts w:ascii="宋体" w:eastAsia="宋体" w:hAnsi="宋体" w:cs="宋体"/>
                <w:sz w:val="18"/>
                <w:szCs w:val="18"/>
              </w:rPr>
              <w:lastRenderedPageBreak/>
              <w:t>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减值准备期初</w:t>
            </w:r>
            <w:r>
              <w:rPr>
                <w:rFonts w:ascii="宋体" w:eastAsia="宋体" w:hAnsi="宋体" w:cs="宋体"/>
                <w:sz w:val="18"/>
                <w:szCs w:val="18"/>
              </w:rPr>
              <w:lastRenderedPageBreak/>
              <w:t>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w:t>
            </w:r>
            <w:r>
              <w:rPr>
                <w:rFonts w:ascii="宋体" w:eastAsia="宋体" w:hAnsi="宋体" w:cs="宋体"/>
                <w:sz w:val="18"/>
                <w:szCs w:val="18"/>
              </w:rPr>
              <w:lastRenderedPageBreak/>
              <w:t>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减值准备期末</w:t>
            </w:r>
            <w:r>
              <w:rPr>
                <w:rFonts w:ascii="宋体" w:eastAsia="宋体" w:hAnsi="宋体" w:cs="宋体"/>
                <w:sz w:val="18"/>
                <w:szCs w:val="18"/>
              </w:rPr>
              <w:lastRenderedPageBreak/>
              <w:t>余额</w:t>
            </w:r>
          </w:p>
        </w:tc>
      </w:tr>
      <w:tr w:rsidR="00BD1BB9">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41" w:type="dxa"/>
            <w:vMerge/>
            <w:tcBorders>
              <w:top w:val="single" w:sz="2" w:space="0" w:color="auto"/>
              <w:left w:val="single" w:sz="2" w:space="0" w:color="auto"/>
              <w:bottom w:val="single" w:sz="2" w:space="0" w:color="auto"/>
              <w:right w:val="single" w:sz="2" w:space="0" w:color="auto"/>
            </w:tcBorders>
            <w:vAlign w:val="center"/>
          </w:tcPr>
          <w:p w:rsidR="00BD1BB9" w:rsidRDefault="00BD1BB9"/>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w:t>
            </w:r>
            <w:r>
              <w:rPr>
                <w:rFonts w:ascii="宋体" w:eastAsia="宋体" w:hAnsi="宋体" w:cs="宋体"/>
                <w:sz w:val="18"/>
                <w:szCs w:val="18"/>
              </w:rPr>
              <w:lastRenderedPageBreak/>
              <w:t>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其他综合</w:t>
            </w:r>
            <w:r>
              <w:rPr>
                <w:rFonts w:ascii="宋体" w:eastAsia="宋体" w:hAnsi="宋体" w:cs="宋体"/>
                <w:sz w:val="18"/>
                <w:szCs w:val="18"/>
              </w:rPr>
              <w:lastRenderedPageBreak/>
              <w:t>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其他权益</w:t>
            </w:r>
            <w:r>
              <w:rPr>
                <w:rFonts w:ascii="宋体" w:eastAsia="宋体" w:hAnsi="宋体" w:cs="宋体"/>
                <w:sz w:val="18"/>
                <w:szCs w:val="18"/>
              </w:rPr>
              <w:lastRenderedPageBreak/>
              <w:t>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宣告发放</w:t>
            </w:r>
            <w:r>
              <w:rPr>
                <w:rFonts w:ascii="宋体" w:eastAsia="宋体" w:hAnsi="宋体" w:cs="宋体"/>
                <w:sz w:val="18"/>
                <w:szCs w:val="18"/>
              </w:rPr>
              <w:lastRenderedPageBreak/>
              <w:t>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计提减值</w:t>
            </w:r>
            <w:r>
              <w:rPr>
                <w:rFonts w:ascii="宋体" w:eastAsia="宋体" w:hAnsi="宋体" w:cs="宋体"/>
                <w:sz w:val="18"/>
                <w:szCs w:val="18"/>
              </w:rPr>
              <w:lastRenderedPageBreak/>
              <w:t>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一、合营企业</w:t>
            </w:r>
          </w:p>
        </w:tc>
      </w:tr>
      <w:tr w:rsidR="00BD1BB9">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BD1BB9">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1,340,100,683.74</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117,066,392.94</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23,994,363.34</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1,364,095,047.08</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117,066,392.94</w:t>
            </w:r>
          </w:p>
        </w:tc>
      </w:tr>
      <w:tr w:rsidR="00BD1BB9">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联储证券股份有限公司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1,062,000,000.00</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88,674,331.02</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6,608,047.25</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-93,078.77</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1,068,514,968.48</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88,674,331.02</w:t>
            </w:r>
          </w:p>
        </w:tc>
      </w:tr>
      <w:tr w:rsidR="00BD1BB9">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2,402,100,683.74</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205,740,723.96</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30,602,410.59</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-93,078.77</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2,432,610,015.56</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205,740,723.96</w:t>
            </w:r>
          </w:p>
        </w:tc>
      </w:tr>
      <w:tr w:rsidR="00BD1BB9">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2,402,100,683.74</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205,740,723.96</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30,602,410.59</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-93,078.77</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2,432,610,015.56</w:t>
            </w:r>
          </w:p>
        </w:tc>
        <w:tc>
          <w:tcPr>
            <w:tcW w:w="74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205,740,723.96</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3"/>
        <w:spacing w:line="280" w:lineRule="exact"/>
        <w:jc w:val="left"/>
        <w:rPr>
          <w:rFonts w:ascii="宋体" w:hAnsi="宋体" w:cs="宋体"/>
          <w:b/>
          <w:bCs/>
        </w:rPr>
      </w:pPr>
      <w:bookmarkStart w:id="359" w:name="_Toc989219"/>
      <w:r>
        <w:rPr>
          <w:rFonts w:ascii="宋体" w:hAnsi="宋体" w:cs="宋体"/>
          <w:b/>
          <w:bCs/>
        </w:rPr>
        <w:t>4、营业收入和营业成本</w:t>
      </w:r>
      <w:bookmarkEnd w:id="359"/>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D1BB9">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1,564,138,369.16</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1,499,158,676.14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1,417,310,204.22</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1,412,961,879.95</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1,186,991.24</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19,612.45</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43,470,490.48</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41,860,328.85</w:t>
            </w:r>
          </w:p>
        </w:tc>
      </w:tr>
      <w:tr w:rsidR="00BD1BB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1,565,325,360.40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1,499,178,288.59</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1,460,780,694.70</w:t>
            </w:r>
          </w:p>
        </w:tc>
        <w:tc>
          <w:tcPr>
            <w:tcW w:w="1928"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1,454,822,208.80</w:t>
            </w:r>
          </w:p>
        </w:tc>
      </w:tr>
    </w:tbl>
    <w:p w:rsidR="00BD1BB9" w:rsidRDefault="00452DEF">
      <w:pPr>
        <w:spacing w:before="100" w:after="40" w:line="240" w:lineRule="exact"/>
        <w:rPr>
          <w:rFonts w:ascii="宋体" w:eastAsia="宋体" w:hAnsi="宋体" w:cs="宋体"/>
          <w:sz w:val="18"/>
          <w:szCs w:val="18"/>
        </w:rPr>
      </w:pPr>
      <w:r>
        <w:rPr>
          <w:rFonts w:ascii="宋体" w:eastAsia="宋体" w:hAnsi="宋体" w:cs="宋体"/>
          <w:sz w:val="18"/>
          <w:szCs w:val="18"/>
        </w:rPr>
        <w:t>营业收入、营业成本的分解信息：</w:t>
      </w:r>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BD1BB9">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D1BB9">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1,565,325,360.40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1,499,178,288.59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1,565,325,360.40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1,499,178,288.59</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1,564,138,369.16</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1,499,158,676.14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1,564,138,369.16</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1,499,158,676.14</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材料销售收入及其他</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1,186,991.24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19,612.45</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1,186,991.24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19,612.45</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1,565,325,360.40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1,499,178,288.59</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1,565,325,360.40</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1,499,178,288.59</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国内</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1,326,572,775.66</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1,283,079,464.81</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1,326,572,775.66</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1,283,079,464.81</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国外</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238,752,584.74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216,098,823.78</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238,752,584.74</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216,098,823.78</w:t>
            </w: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r>
      <w:tr w:rsidR="00BD1BB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bl>
    <w:p w:rsidR="004A3B7E" w:rsidRDefault="00452DEF">
      <w:pPr>
        <w:pStyle w:val="a3"/>
        <w:spacing w:before="0" w:beforeAutospacing="0" w:after="0" w:afterAutospacing="0" w:line="276" w:lineRule="auto"/>
        <w:ind w:firstLine="360"/>
        <w:jc w:val="both"/>
        <w:divId w:val="308023135"/>
        <w:rPr>
          <w:sz w:val="18"/>
          <w:szCs w:val="18"/>
        </w:rPr>
      </w:pPr>
      <w:r>
        <w:rPr>
          <w:rFonts w:hint="eastAsia"/>
          <w:sz w:val="18"/>
          <w:szCs w:val="18"/>
        </w:rPr>
        <w:t>本公司收入主要来源于销售商品和码头仓储服务。销售商品属于在某一时点履行履约义务。公司在满足下列条件时确认收入：购买方在确认接收商品后享有自行销售和使用产品的权利并承担该产品可能发生价格波动或毁损的风险。其中：①国内销售收入确认需满足以下条件：公司已根据合同约定将产品交付给客户且客户已接受该商品，已经收回货款或取得了收款权利的凭证等；②对于国外销售的产品，以产品发运、办理出口清关手续并取得报关单及货运提单时确认销售收入。</w:t>
      </w:r>
    </w:p>
    <w:p w:rsidR="00BD1BB9" w:rsidRDefault="00452DEF" w:rsidP="00240BDB">
      <w:pPr>
        <w:pStyle w:val="a3"/>
        <w:spacing w:before="0" w:beforeAutospacing="0" w:after="0" w:afterAutospacing="0" w:line="276" w:lineRule="auto"/>
        <w:ind w:firstLine="360"/>
        <w:jc w:val="both"/>
        <w:rPr>
          <w:sz w:val="18"/>
          <w:szCs w:val="18"/>
        </w:rPr>
      </w:pPr>
      <w:r>
        <w:rPr>
          <w:sz w:val="18"/>
          <w:szCs w:val="18"/>
        </w:rPr>
        <w:t>与分摊至剩余履约义务的交易价格相关的信息：</w:t>
      </w:r>
    </w:p>
    <w:p w:rsidR="00BD1BB9" w:rsidRDefault="00452DEF" w:rsidP="00240BDB">
      <w:pPr>
        <w:pStyle w:val="a3"/>
        <w:spacing w:before="0" w:beforeAutospacing="0" w:after="0" w:afterAutospacing="0" w:line="276" w:lineRule="auto"/>
        <w:ind w:firstLine="360"/>
        <w:jc w:val="both"/>
        <w:rPr>
          <w:sz w:val="18"/>
          <w:szCs w:val="18"/>
        </w:rPr>
      </w:pPr>
      <w:r>
        <w:rPr>
          <w:sz w:val="18"/>
          <w:szCs w:val="18"/>
        </w:rPr>
        <w:t>本报告</w:t>
      </w:r>
      <w:proofErr w:type="gramStart"/>
      <w:r>
        <w:rPr>
          <w:sz w:val="18"/>
          <w:szCs w:val="18"/>
        </w:rPr>
        <w:t>期末已</w:t>
      </w:r>
      <w:proofErr w:type="gramEnd"/>
      <w:r>
        <w:rPr>
          <w:sz w:val="18"/>
          <w:szCs w:val="18"/>
        </w:rPr>
        <w:t>签订合同、但尚未履行或尚未履行完毕的履约义务所对应的收入金额为144,714,703.56元，其中，144,714,703.56元预计将于2025年下半年度确认收入。</w:t>
      </w:r>
    </w:p>
    <w:p w:rsidR="00BD1BB9" w:rsidRDefault="00452DEF">
      <w:pPr>
        <w:pStyle w:val="3"/>
        <w:spacing w:line="280" w:lineRule="exact"/>
        <w:jc w:val="left"/>
        <w:rPr>
          <w:rFonts w:ascii="宋体" w:hAnsi="宋体" w:cs="宋体"/>
          <w:b/>
          <w:bCs/>
        </w:rPr>
      </w:pPr>
      <w:bookmarkStart w:id="360" w:name="_Toc989220"/>
      <w:r>
        <w:rPr>
          <w:rFonts w:ascii="宋体" w:hAnsi="宋体" w:cs="宋体"/>
          <w:b/>
          <w:bCs/>
        </w:rPr>
        <w:t>5、投资收益</w:t>
      </w:r>
      <w:bookmarkEnd w:id="360"/>
    </w:p>
    <w:p w:rsidR="00BD1BB9" w:rsidRDefault="00452DE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成本法核算的长期股权投资收益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30,602,410.59</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21,549,723.25</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6,828,573.60</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-862,438.62</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21,941,269.61</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应收款项融资贴现损失</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-486,459.44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jc w:val="righ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29,253,512.53</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50,319,566.46</w:t>
            </w:r>
          </w:p>
        </w:tc>
      </w:tr>
    </w:tbl>
    <w:p w:rsidR="00BD1BB9" w:rsidRDefault="00452DEF">
      <w:pPr>
        <w:pStyle w:val="2"/>
        <w:spacing w:before="300" w:after="300" w:line="320" w:lineRule="exact"/>
        <w:rPr>
          <w:rFonts w:ascii="宋体" w:eastAsia="宋体" w:hAnsi="宋体" w:cs="宋体"/>
          <w:b/>
          <w:bCs/>
          <w:sz w:val="24"/>
          <w:szCs w:val="24"/>
        </w:rPr>
      </w:pPr>
      <w:bookmarkStart w:id="361" w:name="_Toc989221"/>
      <w:r>
        <w:rPr>
          <w:rFonts w:ascii="宋体" w:eastAsia="宋体" w:hAnsi="宋体" w:cs="宋体"/>
          <w:b/>
          <w:bCs/>
          <w:sz w:val="24"/>
          <w:szCs w:val="24"/>
        </w:rPr>
        <w:lastRenderedPageBreak/>
        <w:t>二十、补充资料</w:t>
      </w:r>
      <w:bookmarkEnd w:id="361"/>
    </w:p>
    <w:p w:rsidR="00BD1BB9" w:rsidRDefault="00452DEF">
      <w:pPr>
        <w:pStyle w:val="3"/>
        <w:spacing w:line="280" w:lineRule="exact"/>
        <w:jc w:val="left"/>
        <w:rPr>
          <w:rFonts w:ascii="宋体" w:hAnsi="宋体" w:cs="宋体"/>
          <w:b/>
          <w:bCs/>
        </w:rPr>
      </w:pPr>
      <w:bookmarkStart w:id="362" w:name="_Toc989222"/>
      <w:r>
        <w:rPr>
          <w:rFonts w:ascii="宋体" w:hAnsi="宋体" w:cs="宋体"/>
          <w:b/>
          <w:bCs/>
        </w:rPr>
        <w:t>1、当期非经常性损益明细表</w:t>
      </w:r>
      <w:bookmarkEnd w:id="362"/>
    </w:p>
    <w:p w:rsidR="00BD1BB9" w:rsidRDefault="00452DEF">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D1BB9" w:rsidRDefault="00452DEF">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7,500.00</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-4,897.84</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5,790.41</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BD1BB9">
            <w:pPr>
              <w:spacing w:line="240" w:lineRule="exact"/>
              <w:rPr>
                <w:rFonts w:ascii="宋体" w:eastAsia="宋体" w:hAnsi="宋体" w:cs="宋体"/>
                <w:sz w:val="18"/>
                <w:szCs w:val="18"/>
              </w:rPr>
            </w:pP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-3,188.25</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D1B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BD1BB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1,272,115.37</w:t>
            </w:r>
          </w:p>
        </w:tc>
        <w:tc>
          <w:tcPr>
            <w:tcW w:w="3213" w:type="dxa"/>
            <w:tcBorders>
              <w:top w:val="single" w:sz="2" w:space="0" w:color="auto"/>
              <w:left w:val="single" w:sz="2" w:space="0" w:color="auto"/>
              <w:bottom w:val="single" w:sz="2" w:space="0" w:color="auto"/>
              <w:right w:val="single" w:sz="2" w:space="0" w:color="auto"/>
            </w:tcBorders>
            <w:vAlign w:val="center"/>
          </w:tcPr>
          <w:p w:rsidR="00BD1BB9" w:rsidRDefault="00452DEF" w:rsidP="00B51A12">
            <w:pPr>
              <w:spacing w:line="240" w:lineRule="exact"/>
              <w:jc w:val="both"/>
              <w:rPr>
                <w:rFonts w:ascii="宋体" w:eastAsia="宋体" w:hAnsi="宋体" w:cs="宋体"/>
                <w:sz w:val="18"/>
                <w:szCs w:val="18"/>
              </w:rPr>
            </w:pPr>
            <w:r>
              <w:rPr>
                <w:rFonts w:ascii="宋体" w:eastAsia="宋体" w:hAnsi="宋体" w:cs="宋体"/>
                <w:sz w:val="18"/>
                <w:szCs w:val="18"/>
              </w:rPr>
              <w:t>公司经营范围包括：创业投资；利用自有资产对外投资等。本期交易性金融资产、其他非流动金融资产产生的公允价值变动损益和处置交易性金融资产、其他非流动金融资产产生的投资收益系公司的经常性损益。</w:t>
            </w:r>
          </w:p>
        </w:tc>
      </w:tr>
    </w:tbl>
    <w:p w:rsidR="00BD1BB9" w:rsidRDefault="00452DEF">
      <w:pPr>
        <w:pStyle w:val="3"/>
        <w:spacing w:line="280" w:lineRule="exact"/>
        <w:jc w:val="left"/>
        <w:rPr>
          <w:rFonts w:ascii="宋体" w:hAnsi="宋体" w:cs="宋体"/>
          <w:b/>
          <w:bCs/>
        </w:rPr>
      </w:pPr>
      <w:bookmarkStart w:id="363" w:name="_Toc989223"/>
      <w:r>
        <w:rPr>
          <w:rFonts w:ascii="宋体" w:hAnsi="宋体" w:cs="宋体"/>
          <w:b/>
          <w:bCs/>
        </w:rPr>
        <w:t>2、净资产收益率及每股收益</w:t>
      </w:r>
      <w:bookmarkEnd w:id="36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D1BB9">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每股收益</w:t>
            </w:r>
          </w:p>
        </w:tc>
      </w:tr>
      <w:tr w:rsidR="00BD1BB9">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BD1BB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3.15%</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0.19</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0.19</w:t>
            </w:r>
          </w:p>
        </w:tc>
      </w:tr>
      <w:tr w:rsidR="00BD1BB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3.15%</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0.19</w:t>
            </w:r>
          </w:p>
        </w:tc>
        <w:tc>
          <w:tcPr>
            <w:tcW w:w="2410"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jc w:val="right"/>
              <w:rPr>
                <w:rFonts w:ascii="宋体" w:eastAsia="宋体" w:hAnsi="宋体" w:cs="宋体"/>
                <w:sz w:val="18"/>
                <w:szCs w:val="18"/>
              </w:rPr>
            </w:pPr>
            <w:r>
              <w:rPr>
                <w:rFonts w:ascii="宋体" w:eastAsia="宋体" w:hAnsi="宋体" w:cs="宋体"/>
                <w:sz w:val="18"/>
                <w:szCs w:val="18"/>
              </w:rPr>
              <w:t>0.19</w:t>
            </w:r>
          </w:p>
        </w:tc>
      </w:tr>
    </w:tbl>
    <w:p w:rsidR="00BD1BB9" w:rsidRDefault="00452DEF">
      <w:pPr>
        <w:pStyle w:val="3"/>
        <w:spacing w:line="280" w:lineRule="exact"/>
        <w:jc w:val="left"/>
        <w:rPr>
          <w:rFonts w:ascii="宋体" w:hAnsi="宋体" w:cs="宋体"/>
          <w:b/>
          <w:bCs/>
        </w:rPr>
      </w:pPr>
      <w:bookmarkStart w:id="364" w:name="_Toc989224"/>
      <w:r>
        <w:rPr>
          <w:rFonts w:ascii="宋体" w:hAnsi="宋体" w:cs="宋体"/>
          <w:b/>
          <w:bCs/>
        </w:rPr>
        <w:t>3、境内外会计准则下会计数据差异</w:t>
      </w:r>
      <w:bookmarkEnd w:id="364"/>
    </w:p>
    <w:p w:rsidR="00BD1BB9" w:rsidRDefault="00452DEF">
      <w:pPr>
        <w:keepNext/>
        <w:keepLines/>
        <w:spacing w:before="300" w:after="300" w:line="280" w:lineRule="exact"/>
        <w:outlineLvl w:val="3"/>
        <w:rPr>
          <w:rFonts w:ascii="宋体" w:eastAsia="宋体" w:hAnsi="宋体" w:cs="宋体"/>
          <w:b/>
          <w:bCs/>
          <w:szCs w:val="21"/>
        </w:rPr>
      </w:pPr>
      <w:bookmarkStart w:id="365" w:name="_Toc989225"/>
      <w:r>
        <w:rPr>
          <w:rFonts w:ascii="宋体" w:eastAsia="宋体" w:hAnsi="宋体" w:cs="宋体"/>
          <w:b/>
          <w:bCs/>
          <w:szCs w:val="21"/>
        </w:rPr>
        <w:t>（1） 同时按照国际会计准则与按中国会计准则披露的财务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365"/>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keepNext/>
        <w:keepLines/>
        <w:spacing w:before="300" w:after="300" w:line="280" w:lineRule="exact"/>
        <w:outlineLvl w:val="3"/>
        <w:rPr>
          <w:rFonts w:ascii="宋体" w:eastAsia="宋体" w:hAnsi="宋体" w:cs="宋体"/>
          <w:b/>
          <w:bCs/>
          <w:szCs w:val="21"/>
        </w:rPr>
      </w:pPr>
      <w:bookmarkStart w:id="366" w:name="_Toc989226"/>
      <w:r>
        <w:rPr>
          <w:rFonts w:ascii="宋体" w:eastAsia="宋体" w:hAnsi="宋体" w:cs="宋体"/>
          <w:b/>
          <w:bCs/>
          <w:szCs w:val="21"/>
        </w:rPr>
        <w:t>（2） 同时按照境外会计准则与按中国会计准则披露的财务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366"/>
    </w:p>
    <w:p w:rsidR="00BD1BB9" w:rsidRDefault="00452DEF">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1BB9" w:rsidRDefault="00452DEF">
      <w:pPr>
        <w:pStyle w:val="headingh1"/>
        <w:spacing w:before="340" w:after="330" w:line="773" w:lineRule="exact"/>
        <w:jc w:val="center"/>
        <w:rPr>
          <w:rFonts w:ascii="宋体" w:eastAsia="宋体" w:hAnsi="宋体" w:cs="宋体"/>
          <w:b/>
          <w:bCs/>
          <w:sz w:val="32"/>
          <w:szCs w:val="32"/>
        </w:rPr>
      </w:pPr>
      <w:bookmarkStart w:id="367" w:name="_Toc989229"/>
      <w:r>
        <w:rPr>
          <w:rFonts w:ascii="宋体" w:eastAsia="宋体" w:hAnsi="宋体" w:cs="宋体"/>
          <w:b/>
          <w:bCs/>
          <w:sz w:val="32"/>
          <w:szCs w:val="32"/>
        </w:rPr>
        <w:lastRenderedPageBreak/>
        <w:t>第九节 其他报送数据</w:t>
      </w:r>
      <w:bookmarkEnd w:id="367"/>
    </w:p>
    <w:p w:rsidR="00BD1BB9" w:rsidRDefault="00452DEF">
      <w:pPr>
        <w:pStyle w:val="2"/>
        <w:spacing w:before="300" w:after="300" w:line="320" w:lineRule="exact"/>
        <w:rPr>
          <w:rFonts w:ascii="宋体" w:eastAsia="宋体" w:hAnsi="宋体" w:cs="宋体"/>
          <w:b/>
          <w:bCs/>
          <w:sz w:val="24"/>
          <w:szCs w:val="24"/>
        </w:rPr>
      </w:pPr>
      <w:bookmarkStart w:id="368" w:name="_Toc989230"/>
      <w:r>
        <w:rPr>
          <w:rFonts w:ascii="宋体" w:eastAsia="宋体" w:hAnsi="宋体" w:cs="宋体"/>
          <w:b/>
          <w:bCs/>
          <w:sz w:val="24"/>
          <w:szCs w:val="24"/>
        </w:rPr>
        <w:t>一、其他重大社会安全问题情况</w:t>
      </w:r>
      <w:bookmarkEnd w:id="368"/>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上市公司及其子公司是否存在其他重大社会安全问题</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 □不适用</w:t>
      </w:r>
    </w:p>
    <w:p w:rsidR="00BD1BB9" w:rsidRDefault="00452DEF">
      <w:pPr>
        <w:spacing w:before="100" w:after="40" w:line="240" w:lineRule="exact"/>
        <w:rPr>
          <w:rFonts w:ascii="宋体" w:eastAsia="宋体" w:hAnsi="宋体" w:cs="宋体"/>
          <w:sz w:val="18"/>
          <w:szCs w:val="18"/>
        </w:rPr>
      </w:pPr>
      <w:r>
        <w:rPr>
          <w:rFonts w:ascii="宋体" w:eastAsia="宋体" w:hAnsi="宋体" w:cs="宋体"/>
          <w:sz w:val="18"/>
          <w:szCs w:val="18"/>
        </w:rPr>
        <w:t>报告期内是否被行政处罚</w:t>
      </w:r>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 □不适用</w:t>
      </w:r>
    </w:p>
    <w:p w:rsidR="00BD1BB9" w:rsidRDefault="00452DEF">
      <w:pPr>
        <w:pStyle w:val="2"/>
        <w:spacing w:before="300" w:after="300" w:line="320" w:lineRule="exact"/>
        <w:rPr>
          <w:rFonts w:ascii="宋体" w:eastAsia="宋体" w:hAnsi="宋体" w:cs="宋体"/>
          <w:b/>
          <w:bCs/>
          <w:sz w:val="24"/>
          <w:szCs w:val="24"/>
        </w:rPr>
      </w:pPr>
      <w:bookmarkStart w:id="369" w:name="_Toc989231"/>
      <w:r>
        <w:rPr>
          <w:rFonts w:ascii="宋体" w:eastAsia="宋体" w:hAnsi="宋体" w:cs="宋体"/>
          <w:b/>
          <w:bCs/>
          <w:sz w:val="24"/>
          <w:szCs w:val="24"/>
        </w:rPr>
        <w:t>二、报告期内接待调研、沟通、采访等活动登记表</w:t>
      </w:r>
      <w:bookmarkEnd w:id="369"/>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D1BB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接待时间</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接待地点</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接待方式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接待对象类型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接待对象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谈论的主要内容及提供的资料</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D1BB9" w:rsidRDefault="00452DEF">
            <w:pPr>
              <w:spacing w:before="40" w:after="40" w:line="240" w:lineRule="exact"/>
              <w:jc w:val="center"/>
              <w:rPr>
                <w:rFonts w:ascii="宋体" w:eastAsia="宋体" w:hAnsi="宋体" w:cs="宋体"/>
                <w:sz w:val="18"/>
                <w:szCs w:val="18"/>
              </w:rPr>
            </w:pPr>
            <w:r>
              <w:rPr>
                <w:rFonts w:ascii="宋体" w:eastAsia="宋体" w:hAnsi="宋体" w:cs="宋体"/>
                <w:sz w:val="18"/>
                <w:szCs w:val="18"/>
              </w:rPr>
              <w:t>调研的基本情况索引</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2025年05月09日</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价值在线（www.ir-online.cn）</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网络平台线上交流</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线上投资者</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公司生产经营基本情况</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巨潮资讯网，《投资者关系活动记录表》（编号：2025-001）</w:t>
            </w:r>
          </w:p>
        </w:tc>
      </w:tr>
      <w:tr w:rsidR="00BD1BB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rsidP="0079240B">
            <w:pPr>
              <w:spacing w:line="240" w:lineRule="exact"/>
              <w:rPr>
                <w:rFonts w:ascii="宋体" w:eastAsia="宋体" w:hAnsi="宋体" w:cs="宋体"/>
                <w:sz w:val="18"/>
                <w:szCs w:val="18"/>
              </w:rPr>
            </w:pPr>
            <w:r>
              <w:rPr>
                <w:rFonts w:ascii="宋体" w:eastAsia="宋体" w:hAnsi="宋体" w:cs="宋体"/>
                <w:sz w:val="18"/>
                <w:szCs w:val="18"/>
              </w:rPr>
              <w:t>2025年</w:t>
            </w:r>
            <w:r w:rsidR="0079240B">
              <w:rPr>
                <w:rFonts w:ascii="宋体" w:eastAsia="宋体" w:hAnsi="宋体" w:cs="宋体" w:hint="eastAsia"/>
                <w:sz w:val="18"/>
                <w:szCs w:val="18"/>
              </w:rPr>
              <w:t>1-</w:t>
            </w:r>
            <w:r>
              <w:rPr>
                <w:rFonts w:ascii="宋体" w:eastAsia="宋体" w:hAnsi="宋体" w:cs="宋体"/>
                <w:sz w:val="18"/>
                <w:szCs w:val="18"/>
              </w:rPr>
              <w:t>6月</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公司办公室</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电话沟通</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个人</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80多位个人投资者</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公司生产经营基本情况</w:t>
            </w:r>
          </w:p>
        </w:tc>
        <w:tc>
          <w:tcPr>
            <w:tcW w:w="1377" w:type="dxa"/>
            <w:tcBorders>
              <w:top w:val="single" w:sz="2" w:space="0" w:color="auto"/>
              <w:left w:val="single" w:sz="2" w:space="0" w:color="auto"/>
              <w:bottom w:val="single" w:sz="2" w:space="0" w:color="auto"/>
              <w:right w:val="single" w:sz="2" w:space="0" w:color="auto"/>
            </w:tcBorders>
            <w:vAlign w:val="center"/>
          </w:tcPr>
          <w:p w:rsidR="00BD1BB9" w:rsidRDefault="00452DEF">
            <w:pPr>
              <w:spacing w:line="240" w:lineRule="exact"/>
              <w:rPr>
                <w:rFonts w:ascii="宋体" w:eastAsia="宋体" w:hAnsi="宋体" w:cs="宋体"/>
                <w:sz w:val="18"/>
                <w:szCs w:val="18"/>
              </w:rPr>
            </w:pPr>
            <w:r>
              <w:rPr>
                <w:rFonts w:ascii="宋体" w:eastAsia="宋体" w:hAnsi="宋体" w:cs="宋体"/>
                <w:sz w:val="18"/>
                <w:szCs w:val="18"/>
              </w:rPr>
              <w:t>不适用</w:t>
            </w:r>
          </w:p>
        </w:tc>
      </w:tr>
    </w:tbl>
    <w:p w:rsidR="00BD1BB9" w:rsidRDefault="00452DEF">
      <w:pPr>
        <w:pStyle w:val="2"/>
        <w:spacing w:before="300" w:after="300" w:line="320" w:lineRule="exact"/>
        <w:rPr>
          <w:rFonts w:ascii="宋体" w:eastAsia="宋体" w:hAnsi="宋体" w:cs="宋体"/>
          <w:b/>
          <w:bCs/>
          <w:sz w:val="24"/>
          <w:szCs w:val="24"/>
        </w:rPr>
      </w:pPr>
      <w:bookmarkStart w:id="370" w:name="_Toc989232"/>
      <w:r>
        <w:rPr>
          <w:rFonts w:ascii="宋体" w:eastAsia="宋体" w:hAnsi="宋体" w:cs="宋体"/>
          <w:b/>
          <w:bCs/>
          <w:sz w:val="24"/>
          <w:szCs w:val="24"/>
        </w:rPr>
        <w:t>三、上市公司与控股股东及其他关联方资金往来情况</w:t>
      </w:r>
      <w:bookmarkEnd w:id="370"/>
    </w:p>
    <w:p w:rsidR="00BD1BB9" w:rsidRDefault="00452DE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240BDB" w:rsidRDefault="00240BDB">
      <w:pPr>
        <w:spacing w:before="40" w:after="40" w:line="240" w:lineRule="exact"/>
        <w:rPr>
          <w:rFonts w:ascii="宋体" w:eastAsia="宋体" w:hAnsi="宋体" w:cs="宋体"/>
          <w:sz w:val="18"/>
          <w:szCs w:val="18"/>
        </w:rPr>
      </w:pPr>
    </w:p>
    <w:p w:rsidR="00240BDB" w:rsidRDefault="00240BDB">
      <w:pPr>
        <w:spacing w:before="40" w:after="40" w:line="240" w:lineRule="exact"/>
        <w:rPr>
          <w:rFonts w:ascii="宋体" w:eastAsia="宋体" w:hAnsi="宋体" w:cs="宋体"/>
          <w:sz w:val="18"/>
          <w:szCs w:val="18"/>
        </w:rPr>
      </w:pPr>
    </w:p>
    <w:p w:rsidR="00240BDB" w:rsidRDefault="00240BDB">
      <w:pPr>
        <w:spacing w:before="40" w:after="40" w:line="240" w:lineRule="exact"/>
        <w:rPr>
          <w:rFonts w:ascii="宋体" w:eastAsia="宋体" w:hAnsi="宋体" w:cs="宋体"/>
          <w:sz w:val="18"/>
          <w:szCs w:val="18"/>
        </w:rPr>
      </w:pPr>
    </w:p>
    <w:p w:rsidR="00240BDB" w:rsidRDefault="00240BDB">
      <w:pPr>
        <w:spacing w:before="40" w:after="40" w:line="240" w:lineRule="exact"/>
        <w:rPr>
          <w:rFonts w:ascii="宋体" w:eastAsia="宋体" w:hAnsi="宋体" w:cs="宋体"/>
          <w:sz w:val="18"/>
          <w:szCs w:val="18"/>
        </w:rPr>
      </w:pPr>
    </w:p>
    <w:p w:rsidR="00E064EB" w:rsidRPr="00E064EB" w:rsidRDefault="00E064EB">
      <w:pPr>
        <w:spacing w:before="40" w:after="40" w:line="240" w:lineRule="exact"/>
        <w:rPr>
          <w:rFonts w:ascii="宋体" w:eastAsia="宋体" w:hAnsi="宋体" w:cs="宋体"/>
          <w:sz w:val="18"/>
          <w:szCs w:val="18"/>
        </w:rPr>
      </w:pPr>
    </w:p>
    <w:p w:rsidR="00240BDB" w:rsidRDefault="00240BDB">
      <w:pPr>
        <w:spacing w:before="40" w:after="40" w:line="240" w:lineRule="exact"/>
        <w:rPr>
          <w:rFonts w:ascii="宋体" w:eastAsia="宋体" w:hAnsi="宋体" w:cs="宋体"/>
          <w:sz w:val="18"/>
          <w:szCs w:val="18"/>
        </w:rPr>
      </w:pPr>
    </w:p>
    <w:p w:rsidR="00240BDB" w:rsidRDefault="00240BDB">
      <w:pPr>
        <w:spacing w:before="40" w:after="40" w:line="240" w:lineRule="exact"/>
        <w:rPr>
          <w:rFonts w:ascii="宋体" w:eastAsia="宋体" w:hAnsi="宋体" w:cs="宋体"/>
          <w:sz w:val="18"/>
          <w:szCs w:val="18"/>
        </w:rPr>
      </w:pPr>
    </w:p>
    <w:p w:rsidR="00240BDB" w:rsidRPr="00063D52" w:rsidRDefault="00240BDB" w:rsidP="00240BDB">
      <w:pPr>
        <w:widowControl/>
        <w:spacing w:before="100" w:beforeAutospacing="1" w:after="100" w:afterAutospacing="1"/>
        <w:rPr>
          <w:rFonts w:ascii="宋体" w:eastAsia="宋体" w:hAnsi="宋体" w:cs="宋体"/>
          <w:b/>
          <w:kern w:val="0"/>
          <w:szCs w:val="21"/>
        </w:rPr>
      </w:pPr>
      <w:r>
        <w:rPr>
          <w:rFonts w:ascii="宋体" w:eastAsia="宋体" w:hAnsi="宋体" w:cs="宋体" w:hint="eastAsia"/>
          <w:b/>
          <w:kern w:val="0"/>
          <w:szCs w:val="21"/>
        </w:rPr>
        <w:t xml:space="preserve">                                                      </w:t>
      </w:r>
      <w:r w:rsidRPr="00063D52">
        <w:rPr>
          <w:rFonts w:ascii="宋体" w:eastAsia="宋体" w:hAnsi="宋体" w:cs="宋体" w:hint="eastAsia"/>
          <w:b/>
          <w:kern w:val="0"/>
          <w:szCs w:val="21"/>
        </w:rPr>
        <w:t xml:space="preserve"> 江苏华西村股份有限公司董事会</w:t>
      </w:r>
    </w:p>
    <w:p w:rsidR="00240BDB" w:rsidRPr="00063D52" w:rsidRDefault="00240BDB" w:rsidP="00240BDB">
      <w:pPr>
        <w:widowControl/>
        <w:spacing w:before="100" w:beforeAutospacing="1" w:after="100" w:afterAutospacing="1"/>
        <w:rPr>
          <w:rFonts w:ascii="宋体" w:eastAsia="宋体" w:hAnsi="宋体" w:cs="宋体"/>
          <w:b/>
          <w:kern w:val="0"/>
          <w:szCs w:val="21"/>
        </w:rPr>
      </w:pPr>
      <w:r w:rsidRPr="00063D52">
        <w:rPr>
          <w:rFonts w:ascii="宋体" w:eastAsia="宋体" w:hAnsi="宋体" w:cs="宋体" w:hint="eastAsia"/>
          <w:b/>
          <w:kern w:val="0"/>
          <w:szCs w:val="21"/>
        </w:rPr>
        <w:t xml:space="preserve">                                                              董事长：吴协恩</w:t>
      </w:r>
    </w:p>
    <w:p w:rsidR="00240BDB" w:rsidRPr="00063D52" w:rsidRDefault="00240BDB" w:rsidP="00240BDB">
      <w:pPr>
        <w:widowControl/>
        <w:spacing w:before="100" w:beforeAutospacing="1" w:after="100" w:afterAutospacing="1"/>
        <w:rPr>
          <w:rFonts w:ascii="宋体" w:eastAsia="宋体" w:hAnsi="宋体" w:cs="宋体"/>
          <w:b/>
          <w:kern w:val="0"/>
          <w:szCs w:val="21"/>
        </w:rPr>
      </w:pPr>
      <w:r w:rsidRPr="00063D52">
        <w:rPr>
          <w:rFonts w:ascii="宋体" w:eastAsia="宋体" w:hAnsi="宋体" w:cs="宋体" w:hint="eastAsia"/>
          <w:b/>
          <w:kern w:val="0"/>
          <w:szCs w:val="21"/>
        </w:rPr>
        <w:t xml:space="preserve">                                                              </w:t>
      </w:r>
      <w:r>
        <w:rPr>
          <w:rFonts w:ascii="宋体" w:eastAsia="宋体" w:hAnsi="宋体" w:cs="宋体" w:hint="eastAsia"/>
          <w:b/>
          <w:kern w:val="0"/>
          <w:szCs w:val="21"/>
        </w:rPr>
        <w:t>2025</w:t>
      </w:r>
      <w:r w:rsidRPr="00063D52">
        <w:rPr>
          <w:rFonts w:ascii="宋体" w:eastAsia="宋体" w:hAnsi="宋体" w:cs="宋体"/>
          <w:b/>
          <w:kern w:val="0"/>
          <w:szCs w:val="21"/>
        </w:rPr>
        <w:t>年</w:t>
      </w:r>
      <w:r w:rsidRPr="00063D52">
        <w:rPr>
          <w:rFonts w:ascii="宋体" w:eastAsia="宋体" w:hAnsi="宋体" w:cs="宋体" w:hint="eastAsia"/>
          <w:b/>
          <w:kern w:val="0"/>
          <w:szCs w:val="21"/>
        </w:rPr>
        <w:t>8</w:t>
      </w:r>
      <w:r w:rsidRPr="00063D52">
        <w:rPr>
          <w:rFonts w:ascii="宋体" w:eastAsia="宋体" w:hAnsi="宋体" w:cs="宋体"/>
          <w:b/>
          <w:kern w:val="0"/>
          <w:szCs w:val="21"/>
        </w:rPr>
        <w:t>月</w:t>
      </w:r>
      <w:r>
        <w:rPr>
          <w:rFonts w:ascii="宋体" w:eastAsia="宋体" w:hAnsi="宋体" w:cs="宋体" w:hint="eastAsia"/>
          <w:b/>
          <w:kern w:val="0"/>
          <w:szCs w:val="21"/>
        </w:rPr>
        <w:t>28</w:t>
      </w:r>
      <w:r w:rsidRPr="00063D52">
        <w:rPr>
          <w:rFonts w:ascii="宋体" w:eastAsia="宋体" w:hAnsi="宋体" w:cs="宋体"/>
          <w:b/>
          <w:kern w:val="0"/>
          <w:szCs w:val="21"/>
        </w:rPr>
        <w:t>日</w:t>
      </w:r>
    </w:p>
    <w:p w:rsidR="00240BDB" w:rsidRDefault="00240BDB" w:rsidP="00240BDB">
      <w:pPr>
        <w:pStyle w:val="a3"/>
        <w:adjustRightInd w:val="0"/>
        <w:snapToGrid w:val="0"/>
        <w:spacing w:before="0" w:beforeAutospacing="0" w:after="0" w:afterAutospacing="0" w:line="360" w:lineRule="auto"/>
        <w:ind w:firstLine="357"/>
      </w:pPr>
    </w:p>
    <w:p w:rsidR="00240BDB" w:rsidRDefault="00240BDB">
      <w:pPr>
        <w:spacing w:before="40" w:after="40" w:line="240" w:lineRule="exact"/>
        <w:rPr>
          <w:rFonts w:ascii="宋体" w:eastAsia="宋体" w:hAnsi="宋体" w:cs="宋体"/>
          <w:sz w:val="18"/>
          <w:szCs w:val="18"/>
        </w:rPr>
      </w:pPr>
    </w:p>
    <w:sectPr w:rsidR="00240BDB" w:rsidSect="006232B5">
      <w:headerReference w:type="default" r:id="rId8"/>
      <w:footerReference w:type="default" r:id="rId9"/>
      <w:headerReference w:type="first" r:id="rId10"/>
      <w:pgSz w:w="11905" w:h="16840"/>
      <w:pgMar w:top="1440" w:right="1134" w:bottom="1440" w:left="1134" w:header="850" w:footer="992" w:gutter="0"/>
      <w:pgNumType w:start="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6F5" w:rsidRDefault="002B56F5">
      <w:r>
        <w:separator/>
      </w:r>
    </w:p>
  </w:endnote>
  <w:endnote w:type="continuationSeparator" w:id="0">
    <w:p w:rsidR="002B56F5" w:rsidRDefault="002B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01" w:rsidRDefault="00E01201" w:rsidP="00C87458">
    <w:pPr>
      <w:pStyle w:val="fotter1"/>
      <w:jc w:val="center"/>
    </w:pPr>
    <w:r>
      <w:fldChar w:fldCharType="begin"/>
    </w:r>
    <w:r>
      <w:instrText>PAGE   \* MERGEFORMAT</w:instrText>
    </w:r>
    <w:r>
      <w:fldChar w:fldCharType="separate"/>
    </w:r>
    <w:r w:rsidR="00DF106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6F5" w:rsidRDefault="002B56F5">
      <w:r>
        <w:separator/>
      </w:r>
    </w:p>
  </w:footnote>
  <w:footnote w:type="continuationSeparator" w:id="0">
    <w:p w:rsidR="002B56F5" w:rsidRDefault="002B5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01" w:rsidRDefault="00E01201">
    <w:pPr>
      <w:pStyle w:val="Header1"/>
      <w:pBdr>
        <w:bottom w:val="single" w:sz="6" w:space="1" w:color="auto"/>
      </w:pBdr>
    </w:pPr>
    <w:r>
      <w:t>江苏华西村股份有限公司2025年半年度报告全文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BA" w:rsidRPr="009D7EBA" w:rsidRDefault="009D7EBA" w:rsidP="009D7EBA">
    <w:pPr>
      <w:pStyle w:val="a6"/>
      <w:jc w:val="right"/>
      <w:rPr>
        <w:rFonts w:asciiTheme="minorEastAsia" w:hAnsiTheme="minorEastAsia"/>
      </w:rPr>
    </w:pPr>
    <w:r w:rsidRPr="009D7EBA">
      <w:rPr>
        <w:rFonts w:asciiTheme="minorEastAsia" w:hAnsiTheme="minorEastAsia"/>
      </w:rPr>
      <w:t>江苏华西村股份有限公司</w:t>
    </w:r>
    <w:r w:rsidRPr="009D7EBA">
      <w:rPr>
        <w:rFonts w:asciiTheme="minorEastAsia" w:hAnsiTheme="minorEastAsia" w:hint="eastAsia"/>
      </w:rPr>
      <w:t>2025年半年度报告全文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D1BB9"/>
    <w:rsid w:val="00026617"/>
    <w:rsid w:val="000653B1"/>
    <w:rsid w:val="00067601"/>
    <w:rsid w:val="00093F96"/>
    <w:rsid w:val="000C4FA4"/>
    <w:rsid w:val="00117E8C"/>
    <w:rsid w:val="00121FC9"/>
    <w:rsid w:val="00122E6C"/>
    <w:rsid w:val="00126A70"/>
    <w:rsid w:val="00170835"/>
    <w:rsid w:val="00171976"/>
    <w:rsid w:val="001837AE"/>
    <w:rsid w:val="001B7CD2"/>
    <w:rsid w:val="001C46CF"/>
    <w:rsid w:val="002161F1"/>
    <w:rsid w:val="00220591"/>
    <w:rsid w:val="00240BDB"/>
    <w:rsid w:val="0026498F"/>
    <w:rsid w:val="002806D6"/>
    <w:rsid w:val="0029547F"/>
    <w:rsid w:val="002A1CF4"/>
    <w:rsid w:val="002A452D"/>
    <w:rsid w:val="002B56F5"/>
    <w:rsid w:val="002E50D3"/>
    <w:rsid w:val="002F7C87"/>
    <w:rsid w:val="00394281"/>
    <w:rsid w:val="003A654C"/>
    <w:rsid w:val="003B7E25"/>
    <w:rsid w:val="003D0D96"/>
    <w:rsid w:val="003F5185"/>
    <w:rsid w:val="003F61C4"/>
    <w:rsid w:val="00411396"/>
    <w:rsid w:val="004231DC"/>
    <w:rsid w:val="00430BC1"/>
    <w:rsid w:val="00452DEF"/>
    <w:rsid w:val="00473AAA"/>
    <w:rsid w:val="004A3B7E"/>
    <w:rsid w:val="00524BE4"/>
    <w:rsid w:val="005464FA"/>
    <w:rsid w:val="005760E8"/>
    <w:rsid w:val="00586773"/>
    <w:rsid w:val="00593209"/>
    <w:rsid w:val="005935B9"/>
    <w:rsid w:val="005F4C51"/>
    <w:rsid w:val="00600733"/>
    <w:rsid w:val="00612F73"/>
    <w:rsid w:val="006232B5"/>
    <w:rsid w:val="006B6998"/>
    <w:rsid w:val="006C34DC"/>
    <w:rsid w:val="006F2CD6"/>
    <w:rsid w:val="00706B29"/>
    <w:rsid w:val="00712464"/>
    <w:rsid w:val="00746F24"/>
    <w:rsid w:val="00760AB6"/>
    <w:rsid w:val="0079240B"/>
    <w:rsid w:val="00793B89"/>
    <w:rsid w:val="007C7DE7"/>
    <w:rsid w:val="00814945"/>
    <w:rsid w:val="00814988"/>
    <w:rsid w:val="00814BC7"/>
    <w:rsid w:val="008A58B1"/>
    <w:rsid w:val="008D04BC"/>
    <w:rsid w:val="008D5328"/>
    <w:rsid w:val="008F15E7"/>
    <w:rsid w:val="008F1C84"/>
    <w:rsid w:val="0091520B"/>
    <w:rsid w:val="00927F8D"/>
    <w:rsid w:val="00931877"/>
    <w:rsid w:val="00964920"/>
    <w:rsid w:val="00965882"/>
    <w:rsid w:val="00985BE1"/>
    <w:rsid w:val="009D7EBA"/>
    <w:rsid w:val="00A52EAB"/>
    <w:rsid w:val="00AB658F"/>
    <w:rsid w:val="00AD17BB"/>
    <w:rsid w:val="00B00E8F"/>
    <w:rsid w:val="00B22C62"/>
    <w:rsid w:val="00B51A12"/>
    <w:rsid w:val="00B74FF2"/>
    <w:rsid w:val="00BC5EFF"/>
    <w:rsid w:val="00BC62BF"/>
    <w:rsid w:val="00BD1BB9"/>
    <w:rsid w:val="00BE0835"/>
    <w:rsid w:val="00BF5CA9"/>
    <w:rsid w:val="00C16DAF"/>
    <w:rsid w:val="00C3247E"/>
    <w:rsid w:val="00C439AA"/>
    <w:rsid w:val="00C70D46"/>
    <w:rsid w:val="00C7112E"/>
    <w:rsid w:val="00C76860"/>
    <w:rsid w:val="00C87458"/>
    <w:rsid w:val="00CB70B5"/>
    <w:rsid w:val="00CE2626"/>
    <w:rsid w:val="00CE697C"/>
    <w:rsid w:val="00D24262"/>
    <w:rsid w:val="00D255C2"/>
    <w:rsid w:val="00D541AE"/>
    <w:rsid w:val="00DA748D"/>
    <w:rsid w:val="00DB3FF5"/>
    <w:rsid w:val="00DD4A44"/>
    <w:rsid w:val="00DE338D"/>
    <w:rsid w:val="00DE732E"/>
    <w:rsid w:val="00DE75D1"/>
    <w:rsid w:val="00DF106D"/>
    <w:rsid w:val="00E0094D"/>
    <w:rsid w:val="00E01201"/>
    <w:rsid w:val="00E064EB"/>
    <w:rsid w:val="00E1104D"/>
    <w:rsid w:val="00E32CF4"/>
    <w:rsid w:val="00E54D2A"/>
    <w:rsid w:val="00E72382"/>
    <w:rsid w:val="00E900F8"/>
    <w:rsid w:val="00EA0427"/>
    <w:rsid w:val="00EA43B8"/>
    <w:rsid w:val="00ED2074"/>
    <w:rsid w:val="00F14411"/>
    <w:rsid w:val="00F1775C"/>
    <w:rsid w:val="00F25D1D"/>
    <w:rsid w:val="00F5201C"/>
    <w:rsid w:val="00F63C7A"/>
    <w:rsid w:val="00F8078C"/>
    <w:rsid w:val="00F83262"/>
    <w:rsid w:val="00F84AE3"/>
    <w:rsid w:val="00F95757"/>
    <w:rsid w:val="00F972CA"/>
    <w:rsid w:val="00FC238E"/>
    <w:rsid w:val="00FF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link w:val="3Char"/>
    <w:uiPriority w:val="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character" w:customStyle="1" w:styleId="3Char">
    <w:name w:val="标题 3 Char"/>
    <w:basedOn w:val="a0"/>
    <w:link w:val="3"/>
    <w:uiPriority w:val="9"/>
    <w:rPr>
      <w:rFonts w:eastAsia="宋体"/>
      <w:szCs w:val="21"/>
    </w:rPr>
  </w:style>
  <w:style w:type="paragraph" w:styleId="a5">
    <w:name w:val="Balloon Text"/>
    <w:basedOn w:val="a"/>
    <w:link w:val="Char"/>
    <w:uiPriority w:val="99"/>
    <w:semiHidden/>
    <w:unhideWhenUsed/>
    <w:rsid w:val="00793B89"/>
    <w:rPr>
      <w:sz w:val="18"/>
      <w:szCs w:val="18"/>
    </w:rPr>
  </w:style>
  <w:style w:type="character" w:customStyle="1" w:styleId="Char">
    <w:name w:val="批注框文本 Char"/>
    <w:basedOn w:val="a0"/>
    <w:link w:val="a5"/>
    <w:uiPriority w:val="99"/>
    <w:semiHidden/>
    <w:rsid w:val="00793B89"/>
    <w:rPr>
      <w:sz w:val="18"/>
      <w:szCs w:val="18"/>
    </w:rPr>
  </w:style>
  <w:style w:type="paragraph" w:styleId="a6">
    <w:name w:val="header"/>
    <w:basedOn w:val="a"/>
    <w:link w:val="Char0"/>
    <w:uiPriority w:val="99"/>
    <w:unhideWhenUsed/>
    <w:rsid w:val="00C874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7458"/>
    <w:rPr>
      <w:sz w:val="18"/>
      <w:szCs w:val="18"/>
    </w:rPr>
  </w:style>
  <w:style w:type="paragraph" w:styleId="a7">
    <w:name w:val="footer"/>
    <w:basedOn w:val="a"/>
    <w:link w:val="Char1"/>
    <w:uiPriority w:val="99"/>
    <w:unhideWhenUsed/>
    <w:rsid w:val="00C87458"/>
    <w:pPr>
      <w:tabs>
        <w:tab w:val="center" w:pos="4153"/>
        <w:tab w:val="right" w:pos="8306"/>
      </w:tabs>
      <w:snapToGrid w:val="0"/>
    </w:pPr>
    <w:rPr>
      <w:sz w:val="18"/>
      <w:szCs w:val="18"/>
    </w:rPr>
  </w:style>
  <w:style w:type="character" w:customStyle="1" w:styleId="Char1">
    <w:name w:val="页脚 Char"/>
    <w:basedOn w:val="a0"/>
    <w:link w:val="a7"/>
    <w:uiPriority w:val="99"/>
    <w:rsid w:val="00C874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link w:val="3Char"/>
    <w:uiPriority w:val="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character" w:customStyle="1" w:styleId="3Char">
    <w:name w:val="标题 3 Char"/>
    <w:basedOn w:val="a0"/>
    <w:link w:val="3"/>
    <w:uiPriority w:val="9"/>
    <w:rPr>
      <w:rFonts w:eastAsia="宋体"/>
      <w:szCs w:val="21"/>
    </w:rPr>
  </w:style>
  <w:style w:type="paragraph" w:styleId="a5">
    <w:name w:val="Balloon Text"/>
    <w:basedOn w:val="a"/>
    <w:link w:val="Char"/>
    <w:uiPriority w:val="99"/>
    <w:semiHidden/>
    <w:unhideWhenUsed/>
    <w:rsid w:val="00793B89"/>
    <w:rPr>
      <w:sz w:val="18"/>
      <w:szCs w:val="18"/>
    </w:rPr>
  </w:style>
  <w:style w:type="character" w:customStyle="1" w:styleId="Char">
    <w:name w:val="批注框文本 Char"/>
    <w:basedOn w:val="a0"/>
    <w:link w:val="a5"/>
    <w:uiPriority w:val="99"/>
    <w:semiHidden/>
    <w:rsid w:val="00793B89"/>
    <w:rPr>
      <w:sz w:val="18"/>
      <w:szCs w:val="18"/>
    </w:rPr>
  </w:style>
  <w:style w:type="paragraph" w:styleId="a6">
    <w:name w:val="header"/>
    <w:basedOn w:val="a"/>
    <w:link w:val="Char0"/>
    <w:uiPriority w:val="99"/>
    <w:unhideWhenUsed/>
    <w:rsid w:val="00C874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7458"/>
    <w:rPr>
      <w:sz w:val="18"/>
      <w:szCs w:val="18"/>
    </w:rPr>
  </w:style>
  <w:style w:type="paragraph" w:styleId="a7">
    <w:name w:val="footer"/>
    <w:basedOn w:val="a"/>
    <w:link w:val="Char1"/>
    <w:uiPriority w:val="99"/>
    <w:unhideWhenUsed/>
    <w:rsid w:val="00C87458"/>
    <w:pPr>
      <w:tabs>
        <w:tab w:val="center" w:pos="4153"/>
        <w:tab w:val="right" w:pos="8306"/>
      </w:tabs>
      <w:snapToGrid w:val="0"/>
    </w:pPr>
    <w:rPr>
      <w:sz w:val="18"/>
      <w:szCs w:val="18"/>
    </w:rPr>
  </w:style>
  <w:style w:type="character" w:customStyle="1" w:styleId="Char1">
    <w:name w:val="页脚 Char"/>
    <w:basedOn w:val="a0"/>
    <w:link w:val="a7"/>
    <w:uiPriority w:val="99"/>
    <w:rsid w:val="00C874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2225">
      <w:bodyDiv w:val="1"/>
      <w:marLeft w:val="0"/>
      <w:marRight w:val="0"/>
      <w:marTop w:val="0"/>
      <w:marBottom w:val="0"/>
      <w:divBdr>
        <w:top w:val="none" w:sz="0" w:space="0" w:color="auto"/>
        <w:left w:val="none" w:sz="0" w:space="0" w:color="auto"/>
        <w:bottom w:val="none" w:sz="0" w:space="0" w:color="auto"/>
        <w:right w:val="none" w:sz="0" w:space="0" w:color="auto"/>
      </w:divBdr>
    </w:div>
    <w:div w:id="50659681">
      <w:bodyDiv w:val="1"/>
      <w:marLeft w:val="0"/>
      <w:marRight w:val="0"/>
      <w:marTop w:val="0"/>
      <w:marBottom w:val="0"/>
      <w:divBdr>
        <w:top w:val="none" w:sz="0" w:space="0" w:color="auto"/>
        <w:left w:val="none" w:sz="0" w:space="0" w:color="auto"/>
        <w:bottom w:val="none" w:sz="0" w:space="0" w:color="auto"/>
        <w:right w:val="none" w:sz="0" w:space="0" w:color="auto"/>
      </w:divBdr>
    </w:div>
    <w:div w:id="55712843">
      <w:bodyDiv w:val="1"/>
      <w:marLeft w:val="0"/>
      <w:marRight w:val="0"/>
      <w:marTop w:val="0"/>
      <w:marBottom w:val="0"/>
      <w:divBdr>
        <w:top w:val="none" w:sz="0" w:space="0" w:color="auto"/>
        <w:left w:val="none" w:sz="0" w:space="0" w:color="auto"/>
        <w:bottom w:val="none" w:sz="0" w:space="0" w:color="auto"/>
        <w:right w:val="none" w:sz="0" w:space="0" w:color="auto"/>
      </w:divBdr>
    </w:div>
    <w:div w:id="61297856">
      <w:bodyDiv w:val="1"/>
      <w:marLeft w:val="0"/>
      <w:marRight w:val="0"/>
      <w:marTop w:val="0"/>
      <w:marBottom w:val="0"/>
      <w:divBdr>
        <w:top w:val="none" w:sz="0" w:space="0" w:color="auto"/>
        <w:left w:val="none" w:sz="0" w:space="0" w:color="auto"/>
        <w:bottom w:val="none" w:sz="0" w:space="0" w:color="auto"/>
        <w:right w:val="none" w:sz="0" w:space="0" w:color="auto"/>
      </w:divBdr>
    </w:div>
    <w:div w:id="63450502">
      <w:bodyDiv w:val="1"/>
      <w:marLeft w:val="0"/>
      <w:marRight w:val="0"/>
      <w:marTop w:val="0"/>
      <w:marBottom w:val="0"/>
      <w:divBdr>
        <w:top w:val="none" w:sz="0" w:space="0" w:color="auto"/>
        <w:left w:val="none" w:sz="0" w:space="0" w:color="auto"/>
        <w:bottom w:val="none" w:sz="0" w:space="0" w:color="auto"/>
        <w:right w:val="none" w:sz="0" w:space="0" w:color="auto"/>
      </w:divBdr>
    </w:div>
    <w:div w:id="77137948">
      <w:bodyDiv w:val="1"/>
      <w:marLeft w:val="0"/>
      <w:marRight w:val="0"/>
      <w:marTop w:val="0"/>
      <w:marBottom w:val="0"/>
      <w:divBdr>
        <w:top w:val="none" w:sz="0" w:space="0" w:color="auto"/>
        <w:left w:val="none" w:sz="0" w:space="0" w:color="auto"/>
        <w:bottom w:val="none" w:sz="0" w:space="0" w:color="auto"/>
        <w:right w:val="none" w:sz="0" w:space="0" w:color="auto"/>
      </w:divBdr>
    </w:div>
    <w:div w:id="95440384">
      <w:bodyDiv w:val="1"/>
      <w:marLeft w:val="0"/>
      <w:marRight w:val="0"/>
      <w:marTop w:val="0"/>
      <w:marBottom w:val="0"/>
      <w:divBdr>
        <w:top w:val="none" w:sz="0" w:space="0" w:color="auto"/>
        <w:left w:val="none" w:sz="0" w:space="0" w:color="auto"/>
        <w:bottom w:val="none" w:sz="0" w:space="0" w:color="auto"/>
        <w:right w:val="none" w:sz="0" w:space="0" w:color="auto"/>
      </w:divBdr>
    </w:div>
    <w:div w:id="97875824">
      <w:bodyDiv w:val="1"/>
      <w:marLeft w:val="0"/>
      <w:marRight w:val="0"/>
      <w:marTop w:val="0"/>
      <w:marBottom w:val="0"/>
      <w:divBdr>
        <w:top w:val="none" w:sz="0" w:space="0" w:color="auto"/>
        <w:left w:val="none" w:sz="0" w:space="0" w:color="auto"/>
        <w:bottom w:val="none" w:sz="0" w:space="0" w:color="auto"/>
        <w:right w:val="none" w:sz="0" w:space="0" w:color="auto"/>
      </w:divBdr>
    </w:div>
    <w:div w:id="106197797">
      <w:bodyDiv w:val="1"/>
      <w:marLeft w:val="0"/>
      <w:marRight w:val="0"/>
      <w:marTop w:val="0"/>
      <w:marBottom w:val="0"/>
      <w:divBdr>
        <w:top w:val="none" w:sz="0" w:space="0" w:color="auto"/>
        <w:left w:val="none" w:sz="0" w:space="0" w:color="auto"/>
        <w:bottom w:val="none" w:sz="0" w:space="0" w:color="auto"/>
        <w:right w:val="none" w:sz="0" w:space="0" w:color="auto"/>
      </w:divBdr>
    </w:div>
    <w:div w:id="109280549">
      <w:bodyDiv w:val="1"/>
      <w:marLeft w:val="0"/>
      <w:marRight w:val="0"/>
      <w:marTop w:val="0"/>
      <w:marBottom w:val="0"/>
      <w:divBdr>
        <w:top w:val="none" w:sz="0" w:space="0" w:color="auto"/>
        <w:left w:val="none" w:sz="0" w:space="0" w:color="auto"/>
        <w:bottom w:val="none" w:sz="0" w:space="0" w:color="auto"/>
        <w:right w:val="none" w:sz="0" w:space="0" w:color="auto"/>
      </w:divBdr>
    </w:div>
    <w:div w:id="127480727">
      <w:bodyDiv w:val="1"/>
      <w:marLeft w:val="0"/>
      <w:marRight w:val="0"/>
      <w:marTop w:val="0"/>
      <w:marBottom w:val="0"/>
      <w:divBdr>
        <w:top w:val="none" w:sz="0" w:space="0" w:color="auto"/>
        <w:left w:val="none" w:sz="0" w:space="0" w:color="auto"/>
        <w:bottom w:val="none" w:sz="0" w:space="0" w:color="auto"/>
        <w:right w:val="none" w:sz="0" w:space="0" w:color="auto"/>
      </w:divBdr>
    </w:div>
    <w:div w:id="128085844">
      <w:bodyDiv w:val="1"/>
      <w:marLeft w:val="0"/>
      <w:marRight w:val="0"/>
      <w:marTop w:val="0"/>
      <w:marBottom w:val="0"/>
      <w:divBdr>
        <w:top w:val="none" w:sz="0" w:space="0" w:color="auto"/>
        <w:left w:val="none" w:sz="0" w:space="0" w:color="auto"/>
        <w:bottom w:val="none" w:sz="0" w:space="0" w:color="auto"/>
        <w:right w:val="none" w:sz="0" w:space="0" w:color="auto"/>
      </w:divBdr>
    </w:div>
    <w:div w:id="194928606">
      <w:bodyDiv w:val="1"/>
      <w:marLeft w:val="0"/>
      <w:marRight w:val="0"/>
      <w:marTop w:val="0"/>
      <w:marBottom w:val="0"/>
      <w:divBdr>
        <w:top w:val="none" w:sz="0" w:space="0" w:color="auto"/>
        <w:left w:val="none" w:sz="0" w:space="0" w:color="auto"/>
        <w:bottom w:val="none" w:sz="0" w:space="0" w:color="auto"/>
        <w:right w:val="none" w:sz="0" w:space="0" w:color="auto"/>
      </w:divBdr>
    </w:div>
    <w:div w:id="205872390">
      <w:bodyDiv w:val="1"/>
      <w:marLeft w:val="0"/>
      <w:marRight w:val="0"/>
      <w:marTop w:val="0"/>
      <w:marBottom w:val="0"/>
      <w:divBdr>
        <w:top w:val="none" w:sz="0" w:space="0" w:color="auto"/>
        <w:left w:val="none" w:sz="0" w:space="0" w:color="auto"/>
        <w:bottom w:val="none" w:sz="0" w:space="0" w:color="auto"/>
        <w:right w:val="none" w:sz="0" w:space="0" w:color="auto"/>
      </w:divBdr>
    </w:div>
    <w:div w:id="207645404">
      <w:bodyDiv w:val="1"/>
      <w:marLeft w:val="0"/>
      <w:marRight w:val="0"/>
      <w:marTop w:val="0"/>
      <w:marBottom w:val="0"/>
      <w:divBdr>
        <w:top w:val="none" w:sz="0" w:space="0" w:color="auto"/>
        <w:left w:val="none" w:sz="0" w:space="0" w:color="auto"/>
        <w:bottom w:val="none" w:sz="0" w:space="0" w:color="auto"/>
        <w:right w:val="none" w:sz="0" w:space="0" w:color="auto"/>
      </w:divBdr>
    </w:div>
    <w:div w:id="218708663">
      <w:bodyDiv w:val="1"/>
      <w:marLeft w:val="0"/>
      <w:marRight w:val="0"/>
      <w:marTop w:val="0"/>
      <w:marBottom w:val="0"/>
      <w:divBdr>
        <w:top w:val="none" w:sz="0" w:space="0" w:color="auto"/>
        <w:left w:val="none" w:sz="0" w:space="0" w:color="auto"/>
        <w:bottom w:val="none" w:sz="0" w:space="0" w:color="auto"/>
        <w:right w:val="none" w:sz="0" w:space="0" w:color="auto"/>
      </w:divBdr>
    </w:div>
    <w:div w:id="228733964">
      <w:bodyDiv w:val="1"/>
      <w:marLeft w:val="0"/>
      <w:marRight w:val="0"/>
      <w:marTop w:val="0"/>
      <w:marBottom w:val="0"/>
      <w:divBdr>
        <w:top w:val="none" w:sz="0" w:space="0" w:color="auto"/>
        <w:left w:val="none" w:sz="0" w:space="0" w:color="auto"/>
        <w:bottom w:val="none" w:sz="0" w:space="0" w:color="auto"/>
        <w:right w:val="none" w:sz="0" w:space="0" w:color="auto"/>
      </w:divBdr>
    </w:div>
    <w:div w:id="237831339">
      <w:bodyDiv w:val="1"/>
      <w:marLeft w:val="0"/>
      <w:marRight w:val="0"/>
      <w:marTop w:val="0"/>
      <w:marBottom w:val="0"/>
      <w:divBdr>
        <w:top w:val="none" w:sz="0" w:space="0" w:color="auto"/>
        <w:left w:val="none" w:sz="0" w:space="0" w:color="auto"/>
        <w:bottom w:val="none" w:sz="0" w:space="0" w:color="auto"/>
        <w:right w:val="none" w:sz="0" w:space="0" w:color="auto"/>
      </w:divBdr>
    </w:div>
    <w:div w:id="238714860">
      <w:bodyDiv w:val="1"/>
      <w:marLeft w:val="0"/>
      <w:marRight w:val="0"/>
      <w:marTop w:val="0"/>
      <w:marBottom w:val="0"/>
      <w:divBdr>
        <w:top w:val="none" w:sz="0" w:space="0" w:color="auto"/>
        <w:left w:val="none" w:sz="0" w:space="0" w:color="auto"/>
        <w:bottom w:val="none" w:sz="0" w:space="0" w:color="auto"/>
        <w:right w:val="none" w:sz="0" w:space="0" w:color="auto"/>
      </w:divBdr>
    </w:div>
    <w:div w:id="269314868">
      <w:bodyDiv w:val="1"/>
      <w:marLeft w:val="0"/>
      <w:marRight w:val="0"/>
      <w:marTop w:val="0"/>
      <w:marBottom w:val="0"/>
      <w:divBdr>
        <w:top w:val="none" w:sz="0" w:space="0" w:color="auto"/>
        <w:left w:val="none" w:sz="0" w:space="0" w:color="auto"/>
        <w:bottom w:val="none" w:sz="0" w:space="0" w:color="auto"/>
        <w:right w:val="none" w:sz="0" w:space="0" w:color="auto"/>
      </w:divBdr>
    </w:div>
    <w:div w:id="280767874">
      <w:bodyDiv w:val="1"/>
      <w:marLeft w:val="0"/>
      <w:marRight w:val="0"/>
      <w:marTop w:val="0"/>
      <w:marBottom w:val="0"/>
      <w:divBdr>
        <w:top w:val="none" w:sz="0" w:space="0" w:color="auto"/>
        <w:left w:val="none" w:sz="0" w:space="0" w:color="auto"/>
        <w:bottom w:val="none" w:sz="0" w:space="0" w:color="auto"/>
        <w:right w:val="none" w:sz="0" w:space="0" w:color="auto"/>
      </w:divBdr>
    </w:div>
    <w:div w:id="291446415">
      <w:bodyDiv w:val="1"/>
      <w:marLeft w:val="0"/>
      <w:marRight w:val="0"/>
      <w:marTop w:val="0"/>
      <w:marBottom w:val="0"/>
      <w:divBdr>
        <w:top w:val="none" w:sz="0" w:space="0" w:color="auto"/>
        <w:left w:val="none" w:sz="0" w:space="0" w:color="auto"/>
        <w:bottom w:val="none" w:sz="0" w:space="0" w:color="auto"/>
        <w:right w:val="none" w:sz="0" w:space="0" w:color="auto"/>
      </w:divBdr>
    </w:div>
    <w:div w:id="302807818">
      <w:bodyDiv w:val="1"/>
      <w:marLeft w:val="0"/>
      <w:marRight w:val="0"/>
      <w:marTop w:val="0"/>
      <w:marBottom w:val="0"/>
      <w:divBdr>
        <w:top w:val="none" w:sz="0" w:space="0" w:color="auto"/>
        <w:left w:val="none" w:sz="0" w:space="0" w:color="auto"/>
        <w:bottom w:val="none" w:sz="0" w:space="0" w:color="auto"/>
        <w:right w:val="none" w:sz="0" w:space="0" w:color="auto"/>
      </w:divBdr>
    </w:div>
    <w:div w:id="305353698">
      <w:bodyDiv w:val="1"/>
      <w:marLeft w:val="0"/>
      <w:marRight w:val="0"/>
      <w:marTop w:val="0"/>
      <w:marBottom w:val="0"/>
      <w:divBdr>
        <w:top w:val="none" w:sz="0" w:space="0" w:color="auto"/>
        <w:left w:val="none" w:sz="0" w:space="0" w:color="auto"/>
        <w:bottom w:val="none" w:sz="0" w:space="0" w:color="auto"/>
        <w:right w:val="none" w:sz="0" w:space="0" w:color="auto"/>
      </w:divBdr>
    </w:div>
    <w:div w:id="308023135">
      <w:bodyDiv w:val="1"/>
      <w:marLeft w:val="0"/>
      <w:marRight w:val="0"/>
      <w:marTop w:val="0"/>
      <w:marBottom w:val="0"/>
      <w:divBdr>
        <w:top w:val="none" w:sz="0" w:space="0" w:color="auto"/>
        <w:left w:val="none" w:sz="0" w:space="0" w:color="auto"/>
        <w:bottom w:val="none" w:sz="0" w:space="0" w:color="auto"/>
        <w:right w:val="none" w:sz="0" w:space="0" w:color="auto"/>
      </w:divBdr>
    </w:div>
    <w:div w:id="319577631">
      <w:bodyDiv w:val="1"/>
      <w:marLeft w:val="0"/>
      <w:marRight w:val="0"/>
      <w:marTop w:val="0"/>
      <w:marBottom w:val="0"/>
      <w:divBdr>
        <w:top w:val="none" w:sz="0" w:space="0" w:color="auto"/>
        <w:left w:val="none" w:sz="0" w:space="0" w:color="auto"/>
        <w:bottom w:val="none" w:sz="0" w:space="0" w:color="auto"/>
        <w:right w:val="none" w:sz="0" w:space="0" w:color="auto"/>
      </w:divBdr>
    </w:div>
    <w:div w:id="320544587">
      <w:bodyDiv w:val="1"/>
      <w:marLeft w:val="0"/>
      <w:marRight w:val="0"/>
      <w:marTop w:val="0"/>
      <w:marBottom w:val="0"/>
      <w:divBdr>
        <w:top w:val="none" w:sz="0" w:space="0" w:color="auto"/>
        <w:left w:val="none" w:sz="0" w:space="0" w:color="auto"/>
        <w:bottom w:val="none" w:sz="0" w:space="0" w:color="auto"/>
        <w:right w:val="none" w:sz="0" w:space="0" w:color="auto"/>
      </w:divBdr>
    </w:div>
    <w:div w:id="330374806">
      <w:bodyDiv w:val="1"/>
      <w:marLeft w:val="0"/>
      <w:marRight w:val="0"/>
      <w:marTop w:val="0"/>
      <w:marBottom w:val="0"/>
      <w:divBdr>
        <w:top w:val="none" w:sz="0" w:space="0" w:color="auto"/>
        <w:left w:val="none" w:sz="0" w:space="0" w:color="auto"/>
        <w:bottom w:val="none" w:sz="0" w:space="0" w:color="auto"/>
        <w:right w:val="none" w:sz="0" w:space="0" w:color="auto"/>
      </w:divBdr>
    </w:div>
    <w:div w:id="359862464">
      <w:bodyDiv w:val="1"/>
      <w:marLeft w:val="0"/>
      <w:marRight w:val="0"/>
      <w:marTop w:val="0"/>
      <w:marBottom w:val="0"/>
      <w:divBdr>
        <w:top w:val="none" w:sz="0" w:space="0" w:color="auto"/>
        <w:left w:val="none" w:sz="0" w:space="0" w:color="auto"/>
        <w:bottom w:val="none" w:sz="0" w:space="0" w:color="auto"/>
        <w:right w:val="none" w:sz="0" w:space="0" w:color="auto"/>
      </w:divBdr>
    </w:div>
    <w:div w:id="370108918">
      <w:bodyDiv w:val="1"/>
      <w:marLeft w:val="0"/>
      <w:marRight w:val="0"/>
      <w:marTop w:val="0"/>
      <w:marBottom w:val="0"/>
      <w:divBdr>
        <w:top w:val="none" w:sz="0" w:space="0" w:color="auto"/>
        <w:left w:val="none" w:sz="0" w:space="0" w:color="auto"/>
        <w:bottom w:val="none" w:sz="0" w:space="0" w:color="auto"/>
        <w:right w:val="none" w:sz="0" w:space="0" w:color="auto"/>
      </w:divBdr>
    </w:div>
    <w:div w:id="398329176">
      <w:bodyDiv w:val="1"/>
      <w:marLeft w:val="0"/>
      <w:marRight w:val="0"/>
      <w:marTop w:val="0"/>
      <w:marBottom w:val="0"/>
      <w:divBdr>
        <w:top w:val="none" w:sz="0" w:space="0" w:color="auto"/>
        <w:left w:val="none" w:sz="0" w:space="0" w:color="auto"/>
        <w:bottom w:val="none" w:sz="0" w:space="0" w:color="auto"/>
        <w:right w:val="none" w:sz="0" w:space="0" w:color="auto"/>
      </w:divBdr>
    </w:div>
    <w:div w:id="398753510">
      <w:bodyDiv w:val="1"/>
      <w:marLeft w:val="0"/>
      <w:marRight w:val="0"/>
      <w:marTop w:val="0"/>
      <w:marBottom w:val="0"/>
      <w:divBdr>
        <w:top w:val="none" w:sz="0" w:space="0" w:color="auto"/>
        <w:left w:val="none" w:sz="0" w:space="0" w:color="auto"/>
        <w:bottom w:val="none" w:sz="0" w:space="0" w:color="auto"/>
        <w:right w:val="none" w:sz="0" w:space="0" w:color="auto"/>
      </w:divBdr>
    </w:div>
    <w:div w:id="431898399">
      <w:bodyDiv w:val="1"/>
      <w:marLeft w:val="0"/>
      <w:marRight w:val="0"/>
      <w:marTop w:val="0"/>
      <w:marBottom w:val="0"/>
      <w:divBdr>
        <w:top w:val="none" w:sz="0" w:space="0" w:color="auto"/>
        <w:left w:val="none" w:sz="0" w:space="0" w:color="auto"/>
        <w:bottom w:val="none" w:sz="0" w:space="0" w:color="auto"/>
        <w:right w:val="none" w:sz="0" w:space="0" w:color="auto"/>
      </w:divBdr>
    </w:div>
    <w:div w:id="441341296">
      <w:bodyDiv w:val="1"/>
      <w:marLeft w:val="0"/>
      <w:marRight w:val="0"/>
      <w:marTop w:val="0"/>
      <w:marBottom w:val="0"/>
      <w:divBdr>
        <w:top w:val="none" w:sz="0" w:space="0" w:color="auto"/>
        <w:left w:val="none" w:sz="0" w:space="0" w:color="auto"/>
        <w:bottom w:val="none" w:sz="0" w:space="0" w:color="auto"/>
        <w:right w:val="none" w:sz="0" w:space="0" w:color="auto"/>
      </w:divBdr>
    </w:div>
    <w:div w:id="444007992">
      <w:bodyDiv w:val="1"/>
      <w:marLeft w:val="0"/>
      <w:marRight w:val="0"/>
      <w:marTop w:val="0"/>
      <w:marBottom w:val="0"/>
      <w:divBdr>
        <w:top w:val="none" w:sz="0" w:space="0" w:color="auto"/>
        <w:left w:val="none" w:sz="0" w:space="0" w:color="auto"/>
        <w:bottom w:val="none" w:sz="0" w:space="0" w:color="auto"/>
        <w:right w:val="none" w:sz="0" w:space="0" w:color="auto"/>
      </w:divBdr>
    </w:div>
    <w:div w:id="456752471">
      <w:bodyDiv w:val="1"/>
      <w:marLeft w:val="0"/>
      <w:marRight w:val="0"/>
      <w:marTop w:val="0"/>
      <w:marBottom w:val="0"/>
      <w:divBdr>
        <w:top w:val="none" w:sz="0" w:space="0" w:color="auto"/>
        <w:left w:val="none" w:sz="0" w:space="0" w:color="auto"/>
        <w:bottom w:val="none" w:sz="0" w:space="0" w:color="auto"/>
        <w:right w:val="none" w:sz="0" w:space="0" w:color="auto"/>
      </w:divBdr>
    </w:div>
    <w:div w:id="457993743">
      <w:bodyDiv w:val="1"/>
      <w:marLeft w:val="0"/>
      <w:marRight w:val="0"/>
      <w:marTop w:val="0"/>
      <w:marBottom w:val="0"/>
      <w:divBdr>
        <w:top w:val="none" w:sz="0" w:space="0" w:color="auto"/>
        <w:left w:val="none" w:sz="0" w:space="0" w:color="auto"/>
        <w:bottom w:val="none" w:sz="0" w:space="0" w:color="auto"/>
        <w:right w:val="none" w:sz="0" w:space="0" w:color="auto"/>
      </w:divBdr>
    </w:div>
    <w:div w:id="459307294">
      <w:bodyDiv w:val="1"/>
      <w:marLeft w:val="0"/>
      <w:marRight w:val="0"/>
      <w:marTop w:val="0"/>
      <w:marBottom w:val="0"/>
      <w:divBdr>
        <w:top w:val="none" w:sz="0" w:space="0" w:color="auto"/>
        <w:left w:val="none" w:sz="0" w:space="0" w:color="auto"/>
        <w:bottom w:val="none" w:sz="0" w:space="0" w:color="auto"/>
        <w:right w:val="none" w:sz="0" w:space="0" w:color="auto"/>
      </w:divBdr>
    </w:div>
    <w:div w:id="468474706">
      <w:bodyDiv w:val="1"/>
      <w:marLeft w:val="0"/>
      <w:marRight w:val="0"/>
      <w:marTop w:val="0"/>
      <w:marBottom w:val="0"/>
      <w:divBdr>
        <w:top w:val="none" w:sz="0" w:space="0" w:color="auto"/>
        <w:left w:val="none" w:sz="0" w:space="0" w:color="auto"/>
        <w:bottom w:val="none" w:sz="0" w:space="0" w:color="auto"/>
        <w:right w:val="none" w:sz="0" w:space="0" w:color="auto"/>
      </w:divBdr>
    </w:div>
    <w:div w:id="485362609">
      <w:bodyDiv w:val="1"/>
      <w:marLeft w:val="0"/>
      <w:marRight w:val="0"/>
      <w:marTop w:val="0"/>
      <w:marBottom w:val="0"/>
      <w:divBdr>
        <w:top w:val="none" w:sz="0" w:space="0" w:color="auto"/>
        <w:left w:val="none" w:sz="0" w:space="0" w:color="auto"/>
        <w:bottom w:val="none" w:sz="0" w:space="0" w:color="auto"/>
        <w:right w:val="none" w:sz="0" w:space="0" w:color="auto"/>
      </w:divBdr>
    </w:div>
    <w:div w:id="511800936">
      <w:bodyDiv w:val="1"/>
      <w:marLeft w:val="0"/>
      <w:marRight w:val="0"/>
      <w:marTop w:val="0"/>
      <w:marBottom w:val="0"/>
      <w:divBdr>
        <w:top w:val="none" w:sz="0" w:space="0" w:color="auto"/>
        <w:left w:val="none" w:sz="0" w:space="0" w:color="auto"/>
        <w:bottom w:val="none" w:sz="0" w:space="0" w:color="auto"/>
        <w:right w:val="none" w:sz="0" w:space="0" w:color="auto"/>
      </w:divBdr>
    </w:div>
    <w:div w:id="516693890">
      <w:bodyDiv w:val="1"/>
      <w:marLeft w:val="0"/>
      <w:marRight w:val="0"/>
      <w:marTop w:val="0"/>
      <w:marBottom w:val="0"/>
      <w:divBdr>
        <w:top w:val="none" w:sz="0" w:space="0" w:color="auto"/>
        <w:left w:val="none" w:sz="0" w:space="0" w:color="auto"/>
        <w:bottom w:val="none" w:sz="0" w:space="0" w:color="auto"/>
        <w:right w:val="none" w:sz="0" w:space="0" w:color="auto"/>
      </w:divBdr>
    </w:div>
    <w:div w:id="518355276">
      <w:bodyDiv w:val="1"/>
      <w:marLeft w:val="0"/>
      <w:marRight w:val="0"/>
      <w:marTop w:val="0"/>
      <w:marBottom w:val="0"/>
      <w:divBdr>
        <w:top w:val="none" w:sz="0" w:space="0" w:color="auto"/>
        <w:left w:val="none" w:sz="0" w:space="0" w:color="auto"/>
        <w:bottom w:val="none" w:sz="0" w:space="0" w:color="auto"/>
        <w:right w:val="none" w:sz="0" w:space="0" w:color="auto"/>
      </w:divBdr>
    </w:div>
    <w:div w:id="521825947">
      <w:bodyDiv w:val="1"/>
      <w:marLeft w:val="0"/>
      <w:marRight w:val="0"/>
      <w:marTop w:val="0"/>
      <w:marBottom w:val="0"/>
      <w:divBdr>
        <w:top w:val="none" w:sz="0" w:space="0" w:color="auto"/>
        <w:left w:val="none" w:sz="0" w:space="0" w:color="auto"/>
        <w:bottom w:val="none" w:sz="0" w:space="0" w:color="auto"/>
        <w:right w:val="none" w:sz="0" w:space="0" w:color="auto"/>
      </w:divBdr>
    </w:div>
    <w:div w:id="533157893">
      <w:bodyDiv w:val="1"/>
      <w:marLeft w:val="0"/>
      <w:marRight w:val="0"/>
      <w:marTop w:val="0"/>
      <w:marBottom w:val="0"/>
      <w:divBdr>
        <w:top w:val="none" w:sz="0" w:space="0" w:color="auto"/>
        <w:left w:val="none" w:sz="0" w:space="0" w:color="auto"/>
        <w:bottom w:val="none" w:sz="0" w:space="0" w:color="auto"/>
        <w:right w:val="none" w:sz="0" w:space="0" w:color="auto"/>
      </w:divBdr>
    </w:div>
    <w:div w:id="549272267">
      <w:bodyDiv w:val="1"/>
      <w:marLeft w:val="0"/>
      <w:marRight w:val="0"/>
      <w:marTop w:val="0"/>
      <w:marBottom w:val="0"/>
      <w:divBdr>
        <w:top w:val="none" w:sz="0" w:space="0" w:color="auto"/>
        <w:left w:val="none" w:sz="0" w:space="0" w:color="auto"/>
        <w:bottom w:val="none" w:sz="0" w:space="0" w:color="auto"/>
        <w:right w:val="none" w:sz="0" w:space="0" w:color="auto"/>
      </w:divBdr>
    </w:div>
    <w:div w:id="562376605">
      <w:bodyDiv w:val="1"/>
      <w:marLeft w:val="0"/>
      <w:marRight w:val="0"/>
      <w:marTop w:val="0"/>
      <w:marBottom w:val="0"/>
      <w:divBdr>
        <w:top w:val="none" w:sz="0" w:space="0" w:color="auto"/>
        <w:left w:val="none" w:sz="0" w:space="0" w:color="auto"/>
        <w:bottom w:val="none" w:sz="0" w:space="0" w:color="auto"/>
        <w:right w:val="none" w:sz="0" w:space="0" w:color="auto"/>
      </w:divBdr>
    </w:div>
    <w:div w:id="562720961">
      <w:bodyDiv w:val="1"/>
      <w:marLeft w:val="0"/>
      <w:marRight w:val="0"/>
      <w:marTop w:val="0"/>
      <w:marBottom w:val="0"/>
      <w:divBdr>
        <w:top w:val="none" w:sz="0" w:space="0" w:color="auto"/>
        <w:left w:val="none" w:sz="0" w:space="0" w:color="auto"/>
        <w:bottom w:val="none" w:sz="0" w:space="0" w:color="auto"/>
        <w:right w:val="none" w:sz="0" w:space="0" w:color="auto"/>
      </w:divBdr>
    </w:div>
    <w:div w:id="565804426">
      <w:bodyDiv w:val="1"/>
      <w:marLeft w:val="0"/>
      <w:marRight w:val="0"/>
      <w:marTop w:val="0"/>
      <w:marBottom w:val="0"/>
      <w:divBdr>
        <w:top w:val="none" w:sz="0" w:space="0" w:color="auto"/>
        <w:left w:val="none" w:sz="0" w:space="0" w:color="auto"/>
        <w:bottom w:val="none" w:sz="0" w:space="0" w:color="auto"/>
        <w:right w:val="none" w:sz="0" w:space="0" w:color="auto"/>
      </w:divBdr>
    </w:div>
    <w:div w:id="573929077">
      <w:bodyDiv w:val="1"/>
      <w:marLeft w:val="0"/>
      <w:marRight w:val="0"/>
      <w:marTop w:val="0"/>
      <w:marBottom w:val="0"/>
      <w:divBdr>
        <w:top w:val="none" w:sz="0" w:space="0" w:color="auto"/>
        <w:left w:val="none" w:sz="0" w:space="0" w:color="auto"/>
        <w:bottom w:val="none" w:sz="0" w:space="0" w:color="auto"/>
        <w:right w:val="none" w:sz="0" w:space="0" w:color="auto"/>
      </w:divBdr>
    </w:div>
    <w:div w:id="583414931">
      <w:bodyDiv w:val="1"/>
      <w:marLeft w:val="0"/>
      <w:marRight w:val="0"/>
      <w:marTop w:val="0"/>
      <w:marBottom w:val="0"/>
      <w:divBdr>
        <w:top w:val="none" w:sz="0" w:space="0" w:color="auto"/>
        <w:left w:val="none" w:sz="0" w:space="0" w:color="auto"/>
        <w:bottom w:val="none" w:sz="0" w:space="0" w:color="auto"/>
        <w:right w:val="none" w:sz="0" w:space="0" w:color="auto"/>
      </w:divBdr>
    </w:div>
    <w:div w:id="595791765">
      <w:bodyDiv w:val="1"/>
      <w:marLeft w:val="0"/>
      <w:marRight w:val="0"/>
      <w:marTop w:val="0"/>
      <w:marBottom w:val="0"/>
      <w:divBdr>
        <w:top w:val="none" w:sz="0" w:space="0" w:color="auto"/>
        <w:left w:val="none" w:sz="0" w:space="0" w:color="auto"/>
        <w:bottom w:val="none" w:sz="0" w:space="0" w:color="auto"/>
        <w:right w:val="none" w:sz="0" w:space="0" w:color="auto"/>
      </w:divBdr>
    </w:div>
    <w:div w:id="600265615">
      <w:bodyDiv w:val="1"/>
      <w:marLeft w:val="0"/>
      <w:marRight w:val="0"/>
      <w:marTop w:val="0"/>
      <w:marBottom w:val="0"/>
      <w:divBdr>
        <w:top w:val="none" w:sz="0" w:space="0" w:color="auto"/>
        <w:left w:val="none" w:sz="0" w:space="0" w:color="auto"/>
        <w:bottom w:val="none" w:sz="0" w:space="0" w:color="auto"/>
        <w:right w:val="none" w:sz="0" w:space="0" w:color="auto"/>
      </w:divBdr>
    </w:div>
    <w:div w:id="601382108">
      <w:bodyDiv w:val="1"/>
      <w:marLeft w:val="0"/>
      <w:marRight w:val="0"/>
      <w:marTop w:val="0"/>
      <w:marBottom w:val="0"/>
      <w:divBdr>
        <w:top w:val="none" w:sz="0" w:space="0" w:color="auto"/>
        <w:left w:val="none" w:sz="0" w:space="0" w:color="auto"/>
        <w:bottom w:val="none" w:sz="0" w:space="0" w:color="auto"/>
        <w:right w:val="none" w:sz="0" w:space="0" w:color="auto"/>
      </w:divBdr>
    </w:div>
    <w:div w:id="618028045">
      <w:bodyDiv w:val="1"/>
      <w:marLeft w:val="0"/>
      <w:marRight w:val="0"/>
      <w:marTop w:val="0"/>
      <w:marBottom w:val="0"/>
      <w:divBdr>
        <w:top w:val="none" w:sz="0" w:space="0" w:color="auto"/>
        <w:left w:val="none" w:sz="0" w:space="0" w:color="auto"/>
        <w:bottom w:val="none" w:sz="0" w:space="0" w:color="auto"/>
        <w:right w:val="none" w:sz="0" w:space="0" w:color="auto"/>
      </w:divBdr>
    </w:div>
    <w:div w:id="626474368">
      <w:bodyDiv w:val="1"/>
      <w:marLeft w:val="0"/>
      <w:marRight w:val="0"/>
      <w:marTop w:val="0"/>
      <w:marBottom w:val="0"/>
      <w:divBdr>
        <w:top w:val="none" w:sz="0" w:space="0" w:color="auto"/>
        <w:left w:val="none" w:sz="0" w:space="0" w:color="auto"/>
        <w:bottom w:val="none" w:sz="0" w:space="0" w:color="auto"/>
        <w:right w:val="none" w:sz="0" w:space="0" w:color="auto"/>
      </w:divBdr>
    </w:div>
    <w:div w:id="633756212">
      <w:bodyDiv w:val="1"/>
      <w:marLeft w:val="0"/>
      <w:marRight w:val="0"/>
      <w:marTop w:val="0"/>
      <w:marBottom w:val="0"/>
      <w:divBdr>
        <w:top w:val="none" w:sz="0" w:space="0" w:color="auto"/>
        <w:left w:val="none" w:sz="0" w:space="0" w:color="auto"/>
        <w:bottom w:val="none" w:sz="0" w:space="0" w:color="auto"/>
        <w:right w:val="none" w:sz="0" w:space="0" w:color="auto"/>
      </w:divBdr>
    </w:div>
    <w:div w:id="633758782">
      <w:bodyDiv w:val="1"/>
      <w:marLeft w:val="0"/>
      <w:marRight w:val="0"/>
      <w:marTop w:val="0"/>
      <w:marBottom w:val="0"/>
      <w:divBdr>
        <w:top w:val="none" w:sz="0" w:space="0" w:color="auto"/>
        <w:left w:val="none" w:sz="0" w:space="0" w:color="auto"/>
        <w:bottom w:val="none" w:sz="0" w:space="0" w:color="auto"/>
        <w:right w:val="none" w:sz="0" w:space="0" w:color="auto"/>
      </w:divBdr>
    </w:div>
    <w:div w:id="656152575">
      <w:bodyDiv w:val="1"/>
      <w:marLeft w:val="0"/>
      <w:marRight w:val="0"/>
      <w:marTop w:val="0"/>
      <w:marBottom w:val="0"/>
      <w:divBdr>
        <w:top w:val="none" w:sz="0" w:space="0" w:color="auto"/>
        <w:left w:val="none" w:sz="0" w:space="0" w:color="auto"/>
        <w:bottom w:val="none" w:sz="0" w:space="0" w:color="auto"/>
        <w:right w:val="none" w:sz="0" w:space="0" w:color="auto"/>
      </w:divBdr>
    </w:div>
    <w:div w:id="656299922">
      <w:bodyDiv w:val="1"/>
      <w:marLeft w:val="0"/>
      <w:marRight w:val="0"/>
      <w:marTop w:val="0"/>
      <w:marBottom w:val="0"/>
      <w:divBdr>
        <w:top w:val="none" w:sz="0" w:space="0" w:color="auto"/>
        <w:left w:val="none" w:sz="0" w:space="0" w:color="auto"/>
        <w:bottom w:val="none" w:sz="0" w:space="0" w:color="auto"/>
        <w:right w:val="none" w:sz="0" w:space="0" w:color="auto"/>
      </w:divBdr>
    </w:div>
    <w:div w:id="656345833">
      <w:bodyDiv w:val="1"/>
      <w:marLeft w:val="0"/>
      <w:marRight w:val="0"/>
      <w:marTop w:val="0"/>
      <w:marBottom w:val="0"/>
      <w:divBdr>
        <w:top w:val="none" w:sz="0" w:space="0" w:color="auto"/>
        <w:left w:val="none" w:sz="0" w:space="0" w:color="auto"/>
        <w:bottom w:val="none" w:sz="0" w:space="0" w:color="auto"/>
        <w:right w:val="none" w:sz="0" w:space="0" w:color="auto"/>
      </w:divBdr>
    </w:div>
    <w:div w:id="657851760">
      <w:bodyDiv w:val="1"/>
      <w:marLeft w:val="0"/>
      <w:marRight w:val="0"/>
      <w:marTop w:val="0"/>
      <w:marBottom w:val="0"/>
      <w:divBdr>
        <w:top w:val="none" w:sz="0" w:space="0" w:color="auto"/>
        <w:left w:val="none" w:sz="0" w:space="0" w:color="auto"/>
        <w:bottom w:val="none" w:sz="0" w:space="0" w:color="auto"/>
        <w:right w:val="none" w:sz="0" w:space="0" w:color="auto"/>
      </w:divBdr>
    </w:div>
    <w:div w:id="659309759">
      <w:bodyDiv w:val="1"/>
      <w:marLeft w:val="0"/>
      <w:marRight w:val="0"/>
      <w:marTop w:val="0"/>
      <w:marBottom w:val="0"/>
      <w:divBdr>
        <w:top w:val="none" w:sz="0" w:space="0" w:color="auto"/>
        <w:left w:val="none" w:sz="0" w:space="0" w:color="auto"/>
        <w:bottom w:val="none" w:sz="0" w:space="0" w:color="auto"/>
        <w:right w:val="none" w:sz="0" w:space="0" w:color="auto"/>
      </w:divBdr>
    </w:div>
    <w:div w:id="663895286">
      <w:bodyDiv w:val="1"/>
      <w:marLeft w:val="0"/>
      <w:marRight w:val="0"/>
      <w:marTop w:val="0"/>
      <w:marBottom w:val="0"/>
      <w:divBdr>
        <w:top w:val="none" w:sz="0" w:space="0" w:color="auto"/>
        <w:left w:val="none" w:sz="0" w:space="0" w:color="auto"/>
        <w:bottom w:val="none" w:sz="0" w:space="0" w:color="auto"/>
        <w:right w:val="none" w:sz="0" w:space="0" w:color="auto"/>
      </w:divBdr>
    </w:div>
    <w:div w:id="691952858">
      <w:bodyDiv w:val="1"/>
      <w:marLeft w:val="0"/>
      <w:marRight w:val="0"/>
      <w:marTop w:val="0"/>
      <w:marBottom w:val="0"/>
      <w:divBdr>
        <w:top w:val="none" w:sz="0" w:space="0" w:color="auto"/>
        <w:left w:val="none" w:sz="0" w:space="0" w:color="auto"/>
        <w:bottom w:val="none" w:sz="0" w:space="0" w:color="auto"/>
        <w:right w:val="none" w:sz="0" w:space="0" w:color="auto"/>
      </w:divBdr>
    </w:div>
    <w:div w:id="707217250">
      <w:bodyDiv w:val="1"/>
      <w:marLeft w:val="0"/>
      <w:marRight w:val="0"/>
      <w:marTop w:val="0"/>
      <w:marBottom w:val="0"/>
      <w:divBdr>
        <w:top w:val="none" w:sz="0" w:space="0" w:color="auto"/>
        <w:left w:val="none" w:sz="0" w:space="0" w:color="auto"/>
        <w:bottom w:val="none" w:sz="0" w:space="0" w:color="auto"/>
        <w:right w:val="none" w:sz="0" w:space="0" w:color="auto"/>
      </w:divBdr>
    </w:div>
    <w:div w:id="723139744">
      <w:bodyDiv w:val="1"/>
      <w:marLeft w:val="0"/>
      <w:marRight w:val="0"/>
      <w:marTop w:val="0"/>
      <w:marBottom w:val="0"/>
      <w:divBdr>
        <w:top w:val="none" w:sz="0" w:space="0" w:color="auto"/>
        <w:left w:val="none" w:sz="0" w:space="0" w:color="auto"/>
        <w:bottom w:val="none" w:sz="0" w:space="0" w:color="auto"/>
        <w:right w:val="none" w:sz="0" w:space="0" w:color="auto"/>
      </w:divBdr>
    </w:div>
    <w:div w:id="745568305">
      <w:bodyDiv w:val="1"/>
      <w:marLeft w:val="0"/>
      <w:marRight w:val="0"/>
      <w:marTop w:val="0"/>
      <w:marBottom w:val="0"/>
      <w:divBdr>
        <w:top w:val="none" w:sz="0" w:space="0" w:color="auto"/>
        <w:left w:val="none" w:sz="0" w:space="0" w:color="auto"/>
        <w:bottom w:val="none" w:sz="0" w:space="0" w:color="auto"/>
        <w:right w:val="none" w:sz="0" w:space="0" w:color="auto"/>
      </w:divBdr>
    </w:div>
    <w:div w:id="749348461">
      <w:bodyDiv w:val="1"/>
      <w:marLeft w:val="0"/>
      <w:marRight w:val="0"/>
      <w:marTop w:val="0"/>
      <w:marBottom w:val="0"/>
      <w:divBdr>
        <w:top w:val="none" w:sz="0" w:space="0" w:color="auto"/>
        <w:left w:val="none" w:sz="0" w:space="0" w:color="auto"/>
        <w:bottom w:val="none" w:sz="0" w:space="0" w:color="auto"/>
        <w:right w:val="none" w:sz="0" w:space="0" w:color="auto"/>
      </w:divBdr>
    </w:div>
    <w:div w:id="751894808">
      <w:bodyDiv w:val="1"/>
      <w:marLeft w:val="0"/>
      <w:marRight w:val="0"/>
      <w:marTop w:val="0"/>
      <w:marBottom w:val="0"/>
      <w:divBdr>
        <w:top w:val="none" w:sz="0" w:space="0" w:color="auto"/>
        <w:left w:val="none" w:sz="0" w:space="0" w:color="auto"/>
        <w:bottom w:val="none" w:sz="0" w:space="0" w:color="auto"/>
        <w:right w:val="none" w:sz="0" w:space="0" w:color="auto"/>
      </w:divBdr>
    </w:div>
    <w:div w:id="758214882">
      <w:bodyDiv w:val="1"/>
      <w:marLeft w:val="0"/>
      <w:marRight w:val="0"/>
      <w:marTop w:val="0"/>
      <w:marBottom w:val="0"/>
      <w:divBdr>
        <w:top w:val="none" w:sz="0" w:space="0" w:color="auto"/>
        <w:left w:val="none" w:sz="0" w:space="0" w:color="auto"/>
        <w:bottom w:val="none" w:sz="0" w:space="0" w:color="auto"/>
        <w:right w:val="none" w:sz="0" w:space="0" w:color="auto"/>
      </w:divBdr>
    </w:div>
    <w:div w:id="759563651">
      <w:bodyDiv w:val="1"/>
      <w:marLeft w:val="0"/>
      <w:marRight w:val="0"/>
      <w:marTop w:val="0"/>
      <w:marBottom w:val="0"/>
      <w:divBdr>
        <w:top w:val="none" w:sz="0" w:space="0" w:color="auto"/>
        <w:left w:val="none" w:sz="0" w:space="0" w:color="auto"/>
        <w:bottom w:val="none" w:sz="0" w:space="0" w:color="auto"/>
        <w:right w:val="none" w:sz="0" w:space="0" w:color="auto"/>
      </w:divBdr>
    </w:div>
    <w:div w:id="780612399">
      <w:bodyDiv w:val="1"/>
      <w:marLeft w:val="0"/>
      <w:marRight w:val="0"/>
      <w:marTop w:val="0"/>
      <w:marBottom w:val="0"/>
      <w:divBdr>
        <w:top w:val="none" w:sz="0" w:space="0" w:color="auto"/>
        <w:left w:val="none" w:sz="0" w:space="0" w:color="auto"/>
        <w:bottom w:val="none" w:sz="0" w:space="0" w:color="auto"/>
        <w:right w:val="none" w:sz="0" w:space="0" w:color="auto"/>
      </w:divBdr>
    </w:div>
    <w:div w:id="807403876">
      <w:bodyDiv w:val="1"/>
      <w:marLeft w:val="0"/>
      <w:marRight w:val="0"/>
      <w:marTop w:val="0"/>
      <w:marBottom w:val="0"/>
      <w:divBdr>
        <w:top w:val="none" w:sz="0" w:space="0" w:color="auto"/>
        <w:left w:val="none" w:sz="0" w:space="0" w:color="auto"/>
        <w:bottom w:val="none" w:sz="0" w:space="0" w:color="auto"/>
        <w:right w:val="none" w:sz="0" w:space="0" w:color="auto"/>
      </w:divBdr>
    </w:div>
    <w:div w:id="816843297">
      <w:bodyDiv w:val="1"/>
      <w:marLeft w:val="0"/>
      <w:marRight w:val="0"/>
      <w:marTop w:val="0"/>
      <w:marBottom w:val="0"/>
      <w:divBdr>
        <w:top w:val="none" w:sz="0" w:space="0" w:color="auto"/>
        <w:left w:val="none" w:sz="0" w:space="0" w:color="auto"/>
        <w:bottom w:val="none" w:sz="0" w:space="0" w:color="auto"/>
        <w:right w:val="none" w:sz="0" w:space="0" w:color="auto"/>
      </w:divBdr>
    </w:div>
    <w:div w:id="837577546">
      <w:bodyDiv w:val="1"/>
      <w:marLeft w:val="0"/>
      <w:marRight w:val="0"/>
      <w:marTop w:val="0"/>
      <w:marBottom w:val="0"/>
      <w:divBdr>
        <w:top w:val="none" w:sz="0" w:space="0" w:color="auto"/>
        <w:left w:val="none" w:sz="0" w:space="0" w:color="auto"/>
        <w:bottom w:val="none" w:sz="0" w:space="0" w:color="auto"/>
        <w:right w:val="none" w:sz="0" w:space="0" w:color="auto"/>
      </w:divBdr>
    </w:div>
    <w:div w:id="841286465">
      <w:bodyDiv w:val="1"/>
      <w:marLeft w:val="0"/>
      <w:marRight w:val="0"/>
      <w:marTop w:val="0"/>
      <w:marBottom w:val="0"/>
      <w:divBdr>
        <w:top w:val="none" w:sz="0" w:space="0" w:color="auto"/>
        <w:left w:val="none" w:sz="0" w:space="0" w:color="auto"/>
        <w:bottom w:val="none" w:sz="0" w:space="0" w:color="auto"/>
        <w:right w:val="none" w:sz="0" w:space="0" w:color="auto"/>
      </w:divBdr>
    </w:div>
    <w:div w:id="846360554">
      <w:bodyDiv w:val="1"/>
      <w:marLeft w:val="0"/>
      <w:marRight w:val="0"/>
      <w:marTop w:val="0"/>
      <w:marBottom w:val="0"/>
      <w:divBdr>
        <w:top w:val="none" w:sz="0" w:space="0" w:color="auto"/>
        <w:left w:val="none" w:sz="0" w:space="0" w:color="auto"/>
        <w:bottom w:val="none" w:sz="0" w:space="0" w:color="auto"/>
        <w:right w:val="none" w:sz="0" w:space="0" w:color="auto"/>
      </w:divBdr>
    </w:div>
    <w:div w:id="849687256">
      <w:bodyDiv w:val="1"/>
      <w:marLeft w:val="0"/>
      <w:marRight w:val="0"/>
      <w:marTop w:val="0"/>
      <w:marBottom w:val="0"/>
      <w:divBdr>
        <w:top w:val="none" w:sz="0" w:space="0" w:color="auto"/>
        <w:left w:val="none" w:sz="0" w:space="0" w:color="auto"/>
        <w:bottom w:val="none" w:sz="0" w:space="0" w:color="auto"/>
        <w:right w:val="none" w:sz="0" w:space="0" w:color="auto"/>
      </w:divBdr>
    </w:div>
    <w:div w:id="861742658">
      <w:bodyDiv w:val="1"/>
      <w:marLeft w:val="0"/>
      <w:marRight w:val="0"/>
      <w:marTop w:val="0"/>
      <w:marBottom w:val="0"/>
      <w:divBdr>
        <w:top w:val="none" w:sz="0" w:space="0" w:color="auto"/>
        <w:left w:val="none" w:sz="0" w:space="0" w:color="auto"/>
        <w:bottom w:val="none" w:sz="0" w:space="0" w:color="auto"/>
        <w:right w:val="none" w:sz="0" w:space="0" w:color="auto"/>
      </w:divBdr>
    </w:div>
    <w:div w:id="870145809">
      <w:bodyDiv w:val="1"/>
      <w:marLeft w:val="0"/>
      <w:marRight w:val="0"/>
      <w:marTop w:val="0"/>
      <w:marBottom w:val="0"/>
      <w:divBdr>
        <w:top w:val="none" w:sz="0" w:space="0" w:color="auto"/>
        <w:left w:val="none" w:sz="0" w:space="0" w:color="auto"/>
        <w:bottom w:val="none" w:sz="0" w:space="0" w:color="auto"/>
        <w:right w:val="none" w:sz="0" w:space="0" w:color="auto"/>
      </w:divBdr>
    </w:div>
    <w:div w:id="875897072">
      <w:bodyDiv w:val="1"/>
      <w:marLeft w:val="0"/>
      <w:marRight w:val="0"/>
      <w:marTop w:val="0"/>
      <w:marBottom w:val="0"/>
      <w:divBdr>
        <w:top w:val="none" w:sz="0" w:space="0" w:color="auto"/>
        <w:left w:val="none" w:sz="0" w:space="0" w:color="auto"/>
        <w:bottom w:val="none" w:sz="0" w:space="0" w:color="auto"/>
        <w:right w:val="none" w:sz="0" w:space="0" w:color="auto"/>
      </w:divBdr>
    </w:div>
    <w:div w:id="876702298">
      <w:bodyDiv w:val="1"/>
      <w:marLeft w:val="0"/>
      <w:marRight w:val="0"/>
      <w:marTop w:val="0"/>
      <w:marBottom w:val="0"/>
      <w:divBdr>
        <w:top w:val="none" w:sz="0" w:space="0" w:color="auto"/>
        <w:left w:val="none" w:sz="0" w:space="0" w:color="auto"/>
        <w:bottom w:val="none" w:sz="0" w:space="0" w:color="auto"/>
        <w:right w:val="none" w:sz="0" w:space="0" w:color="auto"/>
      </w:divBdr>
    </w:div>
    <w:div w:id="887451569">
      <w:bodyDiv w:val="1"/>
      <w:marLeft w:val="0"/>
      <w:marRight w:val="0"/>
      <w:marTop w:val="0"/>
      <w:marBottom w:val="0"/>
      <w:divBdr>
        <w:top w:val="none" w:sz="0" w:space="0" w:color="auto"/>
        <w:left w:val="none" w:sz="0" w:space="0" w:color="auto"/>
        <w:bottom w:val="none" w:sz="0" w:space="0" w:color="auto"/>
        <w:right w:val="none" w:sz="0" w:space="0" w:color="auto"/>
      </w:divBdr>
    </w:div>
    <w:div w:id="911694659">
      <w:bodyDiv w:val="1"/>
      <w:marLeft w:val="0"/>
      <w:marRight w:val="0"/>
      <w:marTop w:val="0"/>
      <w:marBottom w:val="0"/>
      <w:divBdr>
        <w:top w:val="none" w:sz="0" w:space="0" w:color="auto"/>
        <w:left w:val="none" w:sz="0" w:space="0" w:color="auto"/>
        <w:bottom w:val="none" w:sz="0" w:space="0" w:color="auto"/>
        <w:right w:val="none" w:sz="0" w:space="0" w:color="auto"/>
      </w:divBdr>
    </w:div>
    <w:div w:id="925915934">
      <w:bodyDiv w:val="1"/>
      <w:marLeft w:val="0"/>
      <w:marRight w:val="0"/>
      <w:marTop w:val="0"/>
      <w:marBottom w:val="0"/>
      <w:divBdr>
        <w:top w:val="none" w:sz="0" w:space="0" w:color="auto"/>
        <w:left w:val="none" w:sz="0" w:space="0" w:color="auto"/>
        <w:bottom w:val="none" w:sz="0" w:space="0" w:color="auto"/>
        <w:right w:val="none" w:sz="0" w:space="0" w:color="auto"/>
      </w:divBdr>
    </w:div>
    <w:div w:id="981538654">
      <w:bodyDiv w:val="1"/>
      <w:marLeft w:val="0"/>
      <w:marRight w:val="0"/>
      <w:marTop w:val="0"/>
      <w:marBottom w:val="0"/>
      <w:divBdr>
        <w:top w:val="none" w:sz="0" w:space="0" w:color="auto"/>
        <w:left w:val="none" w:sz="0" w:space="0" w:color="auto"/>
        <w:bottom w:val="none" w:sz="0" w:space="0" w:color="auto"/>
        <w:right w:val="none" w:sz="0" w:space="0" w:color="auto"/>
      </w:divBdr>
    </w:div>
    <w:div w:id="998113564">
      <w:bodyDiv w:val="1"/>
      <w:marLeft w:val="0"/>
      <w:marRight w:val="0"/>
      <w:marTop w:val="0"/>
      <w:marBottom w:val="0"/>
      <w:divBdr>
        <w:top w:val="none" w:sz="0" w:space="0" w:color="auto"/>
        <w:left w:val="none" w:sz="0" w:space="0" w:color="auto"/>
        <w:bottom w:val="none" w:sz="0" w:space="0" w:color="auto"/>
        <w:right w:val="none" w:sz="0" w:space="0" w:color="auto"/>
      </w:divBdr>
    </w:div>
    <w:div w:id="1047801952">
      <w:bodyDiv w:val="1"/>
      <w:marLeft w:val="0"/>
      <w:marRight w:val="0"/>
      <w:marTop w:val="0"/>
      <w:marBottom w:val="0"/>
      <w:divBdr>
        <w:top w:val="none" w:sz="0" w:space="0" w:color="auto"/>
        <w:left w:val="none" w:sz="0" w:space="0" w:color="auto"/>
        <w:bottom w:val="none" w:sz="0" w:space="0" w:color="auto"/>
        <w:right w:val="none" w:sz="0" w:space="0" w:color="auto"/>
      </w:divBdr>
    </w:div>
    <w:div w:id="1049112398">
      <w:bodyDiv w:val="1"/>
      <w:marLeft w:val="0"/>
      <w:marRight w:val="0"/>
      <w:marTop w:val="0"/>
      <w:marBottom w:val="0"/>
      <w:divBdr>
        <w:top w:val="none" w:sz="0" w:space="0" w:color="auto"/>
        <w:left w:val="none" w:sz="0" w:space="0" w:color="auto"/>
        <w:bottom w:val="none" w:sz="0" w:space="0" w:color="auto"/>
        <w:right w:val="none" w:sz="0" w:space="0" w:color="auto"/>
      </w:divBdr>
    </w:div>
    <w:div w:id="1074467919">
      <w:bodyDiv w:val="1"/>
      <w:marLeft w:val="0"/>
      <w:marRight w:val="0"/>
      <w:marTop w:val="0"/>
      <w:marBottom w:val="0"/>
      <w:divBdr>
        <w:top w:val="none" w:sz="0" w:space="0" w:color="auto"/>
        <w:left w:val="none" w:sz="0" w:space="0" w:color="auto"/>
        <w:bottom w:val="none" w:sz="0" w:space="0" w:color="auto"/>
        <w:right w:val="none" w:sz="0" w:space="0" w:color="auto"/>
      </w:divBdr>
    </w:div>
    <w:div w:id="1079181587">
      <w:bodyDiv w:val="1"/>
      <w:marLeft w:val="0"/>
      <w:marRight w:val="0"/>
      <w:marTop w:val="0"/>
      <w:marBottom w:val="0"/>
      <w:divBdr>
        <w:top w:val="none" w:sz="0" w:space="0" w:color="auto"/>
        <w:left w:val="none" w:sz="0" w:space="0" w:color="auto"/>
        <w:bottom w:val="none" w:sz="0" w:space="0" w:color="auto"/>
        <w:right w:val="none" w:sz="0" w:space="0" w:color="auto"/>
      </w:divBdr>
    </w:div>
    <w:div w:id="1084424399">
      <w:bodyDiv w:val="1"/>
      <w:marLeft w:val="0"/>
      <w:marRight w:val="0"/>
      <w:marTop w:val="0"/>
      <w:marBottom w:val="0"/>
      <w:divBdr>
        <w:top w:val="none" w:sz="0" w:space="0" w:color="auto"/>
        <w:left w:val="none" w:sz="0" w:space="0" w:color="auto"/>
        <w:bottom w:val="none" w:sz="0" w:space="0" w:color="auto"/>
        <w:right w:val="none" w:sz="0" w:space="0" w:color="auto"/>
      </w:divBdr>
    </w:div>
    <w:div w:id="1100951693">
      <w:bodyDiv w:val="1"/>
      <w:marLeft w:val="0"/>
      <w:marRight w:val="0"/>
      <w:marTop w:val="0"/>
      <w:marBottom w:val="0"/>
      <w:divBdr>
        <w:top w:val="none" w:sz="0" w:space="0" w:color="auto"/>
        <w:left w:val="none" w:sz="0" w:space="0" w:color="auto"/>
        <w:bottom w:val="none" w:sz="0" w:space="0" w:color="auto"/>
        <w:right w:val="none" w:sz="0" w:space="0" w:color="auto"/>
      </w:divBdr>
    </w:div>
    <w:div w:id="1122532051">
      <w:bodyDiv w:val="1"/>
      <w:marLeft w:val="0"/>
      <w:marRight w:val="0"/>
      <w:marTop w:val="0"/>
      <w:marBottom w:val="0"/>
      <w:divBdr>
        <w:top w:val="none" w:sz="0" w:space="0" w:color="auto"/>
        <w:left w:val="none" w:sz="0" w:space="0" w:color="auto"/>
        <w:bottom w:val="none" w:sz="0" w:space="0" w:color="auto"/>
        <w:right w:val="none" w:sz="0" w:space="0" w:color="auto"/>
      </w:divBdr>
    </w:div>
    <w:div w:id="1155681717">
      <w:bodyDiv w:val="1"/>
      <w:marLeft w:val="0"/>
      <w:marRight w:val="0"/>
      <w:marTop w:val="0"/>
      <w:marBottom w:val="0"/>
      <w:divBdr>
        <w:top w:val="none" w:sz="0" w:space="0" w:color="auto"/>
        <w:left w:val="none" w:sz="0" w:space="0" w:color="auto"/>
        <w:bottom w:val="none" w:sz="0" w:space="0" w:color="auto"/>
        <w:right w:val="none" w:sz="0" w:space="0" w:color="auto"/>
      </w:divBdr>
    </w:div>
    <w:div w:id="1161430724">
      <w:bodyDiv w:val="1"/>
      <w:marLeft w:val="0"/>
      <w:marRight w:val="0"/>
      <w:marTop w:val="0"/>
      <w:marBottom w:val="0"/>
      <w:divBdr>
        <w:top w:val="none" w:sz="0" w:space="0" w:color="auto"/>
        <w:left w:val="none" w:sz="0" w:space="0" w:color="auto"/>
        <w:bottom w:val="none" w:sz="0" w:space="0" w:color="auto"/>
        <w:right w:val="none" w:sz="0" w:space="0" w:color="auto"/>
      </w:divBdr>
    </w:div>
    <w:div w:id="1166634532">
      <w:bodyDiv w:val="1"/>
      <w:marLeft w:val="0"/>
      <w:marRight w:val="0"/>
      <w:marTop w:val="0"/>
      <w:marBottom w:val="0"/>
      <w:divBdr>
        <w:top w:val="none" w:sz="0" w:space="0" w:color="auto"/>
        <w:left w:val="none" w:sz="0" w:space="0" w:color="auto"/>
        <w:bottom w:val="none" w:sz="0" w:space="0" w:color="auto"/>
        <w:right w:val="none" w:sz="0" w:space="0" w:color="auto"/>
      </w:divBdr>
    </w:div>
    <w:div w:id="1167673917">
      <w:bodyDiv w:val="1"/>
      <w:marLeft w:val="0"/>
      <w:marRight w:val="0"/>
      <w:marTop w:val="0"/>
      <w:marBottom w:val="0"/>
      <w:divBdr>
        <w:top w:val="none" w:sz="0" w:space="0" w:color="auto"/>
        <w:left w:val="none" w:sz="0" w:space="0" w:color="auto"/>
        <w:bottom w:val="none" w:sz="0" w:space="0" w:color="auto"/>
        <w:right w:val="none" w:sz="0" w:space="0" w:color="auto"/>
      </w:divBdr>
    </w:div>
    <w:div w:id="1288704732">
      <w:bodyDiv w:val="1"/>
      <w:marLeft w:val="0"/>
      <w:marRight w:val="0"/>
      <w:marTop w:val="0"/>
      <w:marBottom w:val="0"/>
      <w:divBdr>
        <w:top w:val="none" w:sz="0" w:space="0" w:color="auto"/>
        <w:left w:val="none" w:sz="0" w:space="0" w:color="auto"/>
        <w:bottom w:val="none" w:sz="0" w:space="0" w:color="auto"/>
        <w:right w:val="none" w:sz="0" w:space="0" w:color="auto"/>
      </w:divBdr>
    </w:div>
    <w:div w:id="1296136805">
      <w:bodyDiv w:val="1"/>
      <w:marLeft w:val="0"/>
      <w:marRight w:val="0"/>
      <w:marTop w:val="0"/>
      <w:marBottom w:val="0"/>
      <w:divBdr>
        <w:top w:val="none" w:sz="0" w:space="0" w:color="auto"/>
        <w:left w:val="none" w:sz="0" w:space="0" w:color="auto"/>
        <w:bottom w:val="none" w:sz="0" w:space="0" w:color="auto"/>
        <w:right w:val="none" w:sz="0" w:space="0" w:color="auto"/>
      </w:divBdr>
    </w:div>
    <w:div w:id="1297299525">
      <w:bodyDiv w:val="1"/>
      <w:marLeft w:val="0"/>
      <w:marRight w:val="0"/>
      <w:marTop w:val="0"/>
      <w:marBottom w:val="0"/>
      <w:divBdr>
        <w:top w:val="none" w:sz="0" w:space="0" w:color="auto"/>
        <w:left w:val="none" w:sz="0" w:space="0" w:color="auto"/>
        <w:bottom w:val="none" w:sz="0" w:space="0" w:color="auto"/>
        <w:right w:val="none" w:sz="0" w:space="0" w:color="auto"/>
      </w:divBdr>
    </w:div>
    <w:div w:id="1297878883">
      <w:bodyDiv w:val="1"/>
      <w:marLeft w:val="0"/>
      <w:marRight w:val="0"/>
      <w:marTop w:val="0"/>
      <w:marBottom w:val="0"/>
      <w:divBdr>
        <w:top w:val="none" w:sz="0" w:space="0" w:color="auto"/>
        <w:left w:val="none" w:sz="0" w:space="0" w:color="auto"/>
        <w:bottom w:val="none" w:sz="0" w:space="0" w:color="auto"/>
        <w:right w:val="none" w:sz="0" w:space="0" w:color="auto"/>
      </w:divBdr>
    </w:div>
    <w:div w:id="1301687947">
      <w:bodyDiv w:val="1"/>
      <w:marLeft w:val="0"/>
      <w:marRight w:val="0"/>
      <w:marTop w:val="0"/>
      <w:marBottom w:val="0"/>
      <w:divBdr>
        <w:top w:val="none" w:sz="0" w:space="0" w:color="auto"/>
        <w:left w:val="none" w:sz="0" w:space="0" w:color="auto"/>
        <w:bottom w:val="none" w:sz="0" w:space="0" w:color="auto"/>
        <w:right w:val="none" w:sz="0" w:space="0" w:color="auto"/>
      </w:divBdr>
    </w:div>
    <w:div w:id="1303268168">
      <w:bodyDiv w:val="1"/>
      <w:marLeft w:val="0"/>
      <w:marRight w:val="0"/>
      <w:marTop w:val="0"/>
      <w:marBottom w:val="0"/>
      <w:divBdr>
        <w:top w:val="none" w:sz="0" w:space="0" w:color="auto"/>
        <w:left w:val="none" w:sz="0" w:space="0" w:color="auto"/>
        <w:bottom w:val="none" w:sz="0" w:space="0" w:color="auto"/>
        <w:right w:val="none" w:sz="0" w:space="0" w:color="auto"/>
      </w:divBdr>
    </w:div>
    <w:div w:id="1324820450">
      <w:bodyDiv w:val="1"/>
      <w:marLeft w:val="0"/>
      <w:marRight w:val="0"/>
      <w:marTop w:val="0"/>
      <w:marBottom w:val="0"/>
      <w:divBdr>
        <w:top w:val="none" w:sz="0" w:space="0" w:color="auto"/>
        <w:left w:val="none" w:sz="0" w:space="0" w:color="auto"/>
        <w:bottom w:val="none" w:sz="0" w:space="0" w:color="auto"/>
        <w:right w:val="none" w:sz="0" w:space="0" w:color="auto"/>
      </w:divBdr>
    </w:div>
    <w:div w:id="1332024868">
      <w:bodyDiv w:val="1"/>
      <w:marLeft w:val="0"/>
      <w:marRight w:val="0"/>
      <w:marTop w:val="0"/>
      <w:marBottom w:val="0"/>
      <w:divBdr>
        <w:top w:val="none" w:sz="0" w:space="0" w:color="auto"/>
        <w:left w:val="none" w:sz="0" w:space="0" w:color="auto"/>
        <w:bottom w:val="none" w:sz="0" w:space="0" w:color="auto"/>
        <w:right w:val="none" w:sz="0" w:space="0" w:color="auto"/>
      </w:divBdr>
    </w:div>
    <w:div w:id="1355300201">
      <w:bodyDiv w:val="1"/>
      <w:marLeft w:val="0"/>
      <w:marRight w:val="0"/>
      <w:marTop w:val="0"/>
      <w:marBottom w:val="0"/>
      <w:divBdr>
        <w:top w:val="none" w:sz="0" w:space="0" w:color="auto"/>
        <w:left w:val="none" w:sz="0" w:space="0" w:color="auto"/>
        <w:bottom w:val="none" w:sz="0" w:space="0" w:color="auto"/>
        <w:right w:val="none" w:sz="0" w:space="0" w:color="auto"/>
      </w:divBdr>
    </w:div>
    <w:div w:id="1369448641">
      <w:bodyDiv w:val="1"/>
      <w:marLeft w:val="0"/>
      <w:marRight w:val="0"/>
      <w:marTop w:val="0"/>
      <w:marBottom w:val="0"/>
      <w:divBdr>
        <w:top w:val="none" w:sz="0" w:space="0" w:color="auto"/>
        <w:left w:val="none" w:sz="0" w:space="0" w:color="auto"/>
        <w:bottom w:val="none" w:sz="0" w:space="0" w:color="auto"/>
        <w:right w:val="none" w:sz="0" w:space="0" w:color="auto"/>
      </w:divBdr>
    </w:div>
    <w:div w:id="1402748987">
      <w:bodyDiv w:val="1"/>
      <w:marLeft w:val="0"/>
      <w:marRight w:val="0"/>
      <w:marTop w:val="0"/>
      <w:marBottom w:val="0"/>
      <w:divBdr>
        <w:top w:val="none" w:sz="0" w:space="0" w:color="auto"/>
        <w:left w:val="none" w:sz="0" w:space="0" w:color="auto"/>
        <w:bottom w:val="none" w:sz="0" w:space="0" w:color="auto"/>
        <w:right w:val="none" w:sz="0" w:space="0" w:color="auto"/>
      </w:divBdr>
    </w:div>
    <w:div w:id="1420441080">
      <w:bodyDiv w:val="1"/>
      <w:marLeft w:val="0"/>
      <w:marRight w:val="0"/>
      <w:marTop w:val="0"/>
      <w:marBottom w:val="0"/>
      <w:divBdr>
        <w:top w:val="none" w:sz="0" w:space="0" w:color="auto"/>
        <w:left w:val="none" w:sz="0" w:space="0" w:color="auto"/>
        <w:bottom w:val="none" w:sz="0" w:space="0" w:color="auto"/>
        <w:right w:val="none" w:sz="0" w:space="0" w:color="auto"/>
      </w:divBdr>
    </w:div>
    <w:div w:id="1423989191">
      <w:bodyDiv w:val="1"/>
      <w:marLeft w:val="0"/>
      <w:marRight w:val="0"/>
      <w:marTop w:val="0"/>
      <w:marBottom w:val="0"/>
      <w:divBdr>
        <w:top w:val="none" w:sz="0" w:space="0" w:color="auto"/>
        <w:left w:val="none" w:sz="0" w:space="0" w:color="auto"/>
        <w:bottom w:val="none" w:sz="0" w:space="0" w:color="auto"/>
        <w:right w:val="none" w:sz="0" w:space="0" w:color="auto"/>
      </w:divBdr>
    </w:div>
    <w:div w:id="1450080422">
      <w:bodyDiv w:val="1"/>
      <w:marLeft w:val="0"/>
      <w:marRight w:val="0"/>
      <w:marTop w:val="0"/>
      <w:marBottom w:val="0"/>
      <w:divBdr>
        <w:top w:val="none" w:sz="0" w:space="0" w:color="auto"/>
        <w:left w:val="none" w:sz="0" w:space="0" w:color="auto"/>
        <w:bottom w:val="none" w:sz="0" w:space="0" w:color="auto"/>
        <w:right w:val="none" w:sz="0" w:space="0" w:color="auto"/>
      </w:divBdr>
    </w:div>
    <w:div w:id="1500775514">
      <w:bodyDiv w:val="1"/>
      <w:marLeft w:val="0"/>
      <w:marRight w:val="0"/>
      <w:marTop w:val="0"/>
      <w:marBottom w:val="0"/>
      <w:divBdr>
        <w:top w:val="none" w:sz="0" w:space="0" w:color="auto"/>
        <w:left w:val="none" w:sz="0" w:space="0" w:color="auto"/>
        <w:bottom w:val="none" w:sz="0" w:space="0" w:color="auto"/>
        <w:right w:val="none" w:sz="0" w:space="0" w:color="auto"/>
      </w:divBdr>
    </w:div>
    <w:div w:id="1535194863">
      <w:bodyDiv w:val="1"/>
      <w:marLeft w:val="0"/>
      <w:marRight w:val="0"/>
      <w:marTop w:val="0"/>
      <w:marBottom w:val="0"/>
      <w:divBdr>
        <w:top w:val="none" w:sz="0" w:space="0" w:color="auto"/>
        <w:left w:val="none" w:sz="0" w:space="0" w:color="auto"/>
        <w:bottom w:val="none" w:sz="0" w:space="0" w:color="auto"/>
        <w:right w:val="none" w:sz="0" w:space="0" w:color="auto"/>
      </w:divBdr>
    </w:div>
    <w:div w:id="1539320091">
      <w:bodyDiv w:val="1"/>
      <w:marLeft w:val="0"/>
      <w:marRight w:val="0"/>
      <w:marTop w:val="0"/>
      <w:marBottom w:val="0"/>
      <w:divBdr>
        <w:top w:val="none" w:sz="0" w:space="0" w:color="auto"/>
        <w:left w:val="none" w:sz="0" w:space="0" w:color="auto"/>
        <w:bottom w:val="none" w:sz="0" w:space="0" w:color="auto"/>
        <w:right w:val="none" w:sz="0" w:space="0" w:color="auto"/>
      </w:divBdr>
    </w:div>
    <w:div w:id="1562520973">
      <w:bodyDiv w:val="1"/>
      <w:marLeft w:val="0"/>
      <w:marRight w:val="0"/>
      <w:marTop w:val="0"/>
      <w:marBottom w:val="0"/>
      <w:divBdr>
        <w:top w:val="none" w:sz="0" w:space="0" w:color="auto"/>
        <w:left w:val="none" w:sz="0" w:space="0" w:color="auto"/>
        <w:bottom w:val="none" w:sz="0" w:space="0" w:color="auto"/>
        <w:right w:val="none" w:sz="0" w:space="0" w:color="auto"/>
      </w:divBdr>
    </w:div>
    <w:div w:id="1567108465">
      <w:bodyDiv w:val="1"/>
      <w:marLeft w:val="0"/>
      <w:marRight w:val="0"/>
      <w:marTop w:val="0"/>
      <w:marBottom w:val="0"/>
      <w:divBdr>
        <w:top w:val="none" w:sz="0" w:space="0" w:color="auto"/>
        <w:left w:val="none" w:sz="0" w:space="0" w:color="auto"/>
        <w:bottom w:val="none" w:sz="0" w:space="0" w:color="auto"/>
        <w:right w:val="none" w:sz="0" w:space="0" w:color="auto"/>
      </w:divBdr>
    </w:div>
    <w:div w:id="1571380593">
      <w:bodyDiv w:val="1"/>
      <w:marLeft w:val="0"/>
      <w:marRight w:val="0"/>
      <w:marTop w:val="0"/>
      <w:marBottom w:val="0"/>
      <w:divBdr>
        <w:top w:val="none" w:sz="0" w:space="0" w:color="auto"/>
        <w:left w:val="none" w:sz="0" w:space="0" w:color="auto"/>
        <w:bottom w:val="none" w:sz="0" w:space="0" w:color="auto"/>
        <w:right w:val="none" w:sz="0" w:space="0" w:color="auto"/>
      </w:divBdr>
    </w:div>
    <w:div w:id="1582324949">
      <w:bodyDiv w:val="1"/>
      <w:marLeft w:val="0"/>
      <w:marRight w:val="0"/>
      <w:marTop w:val="0"/>
      <w:marBottom w:val="0"/>
      <w:divBdr>
        <w:top w:val="none" w:sz="0" w:space="0" w:color="auto"/>
        <w:left w:val="none" w:sz="0" w:space="0" w:color="auto"/>
        <w:bottom w:val="none" w:sz="0" w:space="0" w:color="auto"/>
        <w:right w:val="none" w:sz="0" w:space="0" w:color="auto"/>
      </w:divBdr>
    </w:div>
    <w:div w:id="1603873854">
      <w:bodyDiv w:val="1"/>
      <w:marLeft w:val="0"/>
      <w:marRight w:val="0"/>
      <w:marTop w:val="0"/>
      <w:marBottom w:val="0"/>
      <w:divBdr>
        <w:top w:val="none" w:sz="0" w:space="0" w:color="auto"/>
        <w:left w:val="none" w:sz="0" w:space="0" w:color="auto"/>
        <w:bottom w:val="none" w:sz="0" w:space="0" w:color="auto"/>
        <w:right w:val="none" w:sz="0" w:space="0" w:color="auto"/>
      </w:divBdr>
    </w:div>
    <w:div w:id="1606498133">
      <w:bodyDiv w:val="1"/>
      <w:marLeft w:val="0"/>
      <w:marRight w:val="0"/>
      <w:marTop w:val="0"/>
      <w:marBottom w:val="0"/>
      <w:divBdr>
        <w:top w:val="none" w:sz="0" w:space="0" w:color="auto"/>
        <w:left w:val="none" w:sz="0" w:space="0" w:color="auto"/>
        <w:bottom w:val="none" w:sz="0" w:space="0" w:color="auto"/>
        <w:right w:val="none" w:sz="0" w:space="0" w:color="auto"/>
      </w:divBdr>
    </w:div>
    <w:div w:id="1609042116">
      <w:bodyDiv w:val="1"/>
      <w:marLeft w:val="0"/>
      <w:marRight w:val="0"/>
      <w:marTop w:val="0"/>
      <w:marBottom w:val="0"/>
      <w:divBdr>
        <w:top w:val="none" w:sz="0" w:space="0" w:color="auto"/>
        <w:left w:val="none" w:sz="0" w:space="0" w:color="auto"/>
        <w:bottom w:val="none" w:sz="0" w:space="0" w:color="auto"/>
        <w:right w:val="none" w:sz="0" w:space="0" w:color="auto"/>
      </w:divBdr>
    </w:div>
    <w:div w:id="1622031481">
      <w:bodyDiv w:val="1"/>
      <w:marLeft w:val="0"/>
      <w:marRight w:val="0"/>
      <w:marTop w:val="0"/>
      <w:marBottom w:val="0"/>
      <w:divBdr>
        <w:top w:val="none" w:sz="0" w:space="0" w:color="auto"/>
        <w:left w:val="none" w:sz="0" w:space="0" w:color="auto"/>
        <w:bottom w:val="none" w:sz="0" w:space="0" w:color="auto"/>
        <w:right w:val="none" w:sz="0" w:space="0" w:color="auto"/>
      </w:divBdr>
    </w:div>
    <w:div w:id="1644919693">
      <w:bodyDiv w:val="1"/>
      <w:marLeft w:val="0"/>
      <w:marRight w:val="0"/>
      <w:marTop w:val="0"/>
      <w:marBottom w:val="0"/>
      <w:divBdr>
        <w:top w:val="none" w:sz="0" w:space="0" w:color="auto"/>
        <w:left w:val="none" w:sz="0" w:space="0" w:color="auto"/>
        <w:bottom w:val="none" w:sz="0" w:space="0" w:color="auto"/>
        <w:right w:val="none" w:sz="0" w:space="0" w:color="auto"/>
      </w:divBdr>
    </w:div>
    <w:div w:id="1648122656">
      <w:bodyDiv w:val="1"/>
      <w:marLeft w:val="0"/>
      <w:marRight w:val="0"/>
      <w:marTop w:val="0"/>
      <w:marBottom w:val="0"/>
      <w:divBdr>
        <w:top w:val="none" w:sz="0" w:space="0" w:color="auto"/>
        <w:left w:val="none" w:sz="0" w:space="0" w:color="auto"/>
        <w:bottom w:val="none" w:sz="0" w:space="0" w:color="auto"/>
        <w:right w:val="none" w:sz="0" w:space="0" w:color="auto"/>
      </w:divBdr>
    </w:div>
    <w:div w:id="1678997275">
      <w:bodyDiv w:val="1"/>
      <w:marLeft w:val="0"/>
      <w:marRight w:val="0"/>
      <w:marTop w:val="0"/>
      <w:marBottom w:val="0"/>
      <w:divBdr>
        <w:top w:val="none" w:sz="0" w:space="0" w:color="auto"/>
        <w:left w:val="none" w:sz="0" w:space="0" w:color="auto"/>
        <w:bottom w:val="none" w:sz="0" w:space="0" w:color="auto"/>
        <w:right w:val="none" w:sz="0" w:space="0" w:color="auto"/>
      </w:divBdr>
    </w:div>
    <w:div w:id="1685355227">
      <w:bodyDiv w:val="1"/>
      <w:marLeft w:val="0"/>
      <w:marRight w:val="0"/>
      <w:marTop w:val="0"/>
      <w:marBottom w:val="0"/>
      <w:divBdr>
        <w:top w:val="none" w:sz="0" w:space="0" w:color="auto"/>
        <w:left w:val="none" w:sz="0" w:space="0" w:color="auto"/>
        <w:bottom w:val="none" w:sz="0" w:space="0" w:color="auto"/>
        <w:right w:val="none" w:sz="0" w:space="0" w:color="auto"/>
      </w:divBdr>
    </w:div>
    <w:div w:id="1725562893">
      <w:bodyDiv w:val="1"/>
      <w:marLeft w:val="0"/>
      <w:marRight w:val="0"/>
      <w:marTop w:val="0"/>
      <w:marBottom w:val="0"/>
      <w:divBdr>
        <w:top w:val="none" w:sz="0" w:space="0" w:color="auto"/>
        <w:left w:val="none" w:sz="0" w:space="0" w:color="auto"/>
        <w:bottom w:val="none" w:sz="0" w:space="0" w:color="auto"/>
        <w:right w:val="none" w:sz="0" w:space="0" w:color="auto"/>
      </w:divBdr>
    </w:div>
    <w:div w:id="1725643457">
      <w:bodyDiv w:val="1"/>
      <w:marLeft w:val="0"/>
      <w:marRight w:val="0"/>
      <w:marTop w:val="0"/>
      <w:marBottom w:val="0"/>
      <w:divBdr>
        <w:top w:val="none" w:sz="0" w:space="0" w:color="auto"/>
        <w:left w:val="none" w:sz="0" w:space="0" w:color="auto"/>
        <w:bottom w:val="none" w:sz="0" w:space="0" w:color="auto"/>
        <w:right w:val="none" w:sz="0" w:space="0" w:color="auto"/>
      </w:divBdr>
    </w:div>
    <w:div w:id="1731541290">
      <w:bodyDiv w:val="1"/>
      <w:marLeft w:val="0"/>
      <w:marRight w:val="0"/>
      <w:marTop w:val="0"/>
      <w:marBottom w:val="0"/>
      <w:divBdr>
        <w:top w:val="none" w:sz="0" w:space="0" w:color="auto"/>
        <w:left w:val="none" w:sz="0" w:space="0" w:color="auto"/>
        <w:bottom w:val="none" w:sz="0" w:space="0" w:color="auto"/>
        <w:right w:val="none" w:sz="0" w:space="0" w:color="auto"/>
      </w:divBdr>
    </w:div>
    <w:div w:id="1732339736">
      <w:bodyDiv w:val="1"/>
      <w:marLeft w:val="0"/>
      <w:marRight w:val="0"/>
      <w:marTop w:val="0"/>
      <w:marBottom w:val="0"/>
      <w:divBdr>
        <w:top w:val="none" w:sz="0" w:space="0" w:color="auto"/>
        <w:left w:val="none" w:sz="0" w:space="0" w:color="auto"/>
        <w:bottom w:val="none" w:sz="0" w:space="0" w:color="auto"/>
        <w:right w:val="none" w:sz="0" w:space="0" w:color="auto"/>
      </w:divBdr>
    </w:div>
    <w:div w:id="1736511973">
      <w:bodyDiv w:val="1"/>
      <w:marLeft w:val="0"/>
      <w:marRight w:val="0"/>
      <w:marTop w:val="0"/>
      <w:marBottom w:val="0"/>
      <w:divBdr>
        <w:top w:val="none" w:sz="0" w:space="0" w:color="auto"/>
        <w:left w:val="none" w:sz="0" w:space="0" w:color="auto"/>
        <w:bottom w:val="none" w:sz="0" w:space="0" w:color="auto"/>
        <w:right w:val="none" w:sz="0" w:space="0" w:color="auto"/>
      </w:divBdr>
    </w:div>
    <w:div w:id="1750075272">
      <w:bodyDiv w:val="1"/>
      <w:marLeft w:val="0"/>
      <w:marRight w:val="0"/>
      <w:marTop w:val="0"/>
      <w:marBottom w:val="0"/>
      <w:divBdr>
        <w:top w:val="none" w:sz="0" w:space="0" w:color="auto"/>
        <w:left w:val="none" w:sz="0" w:space="0" w:color="auto"/>
        <w:bottom w:val="none" w:sz="0" w:space="0" w:color="auto"/>
        <w:right w:val="none" w:sz="0" w:space="0" w:color="auto"/>
      </w:divBdr>
    </w:div>
    <w:div w:id="1754736178">
      <w:bodyDiv w:val="1"/>
      <w:marLeft w:val="0"/>
      <w:marRight w:val="0"/>
      <w:marTop w:val="0"/>
      <w:marBottom w:val="0"/>
      <w:divBdr>
        <w:top w:val="none" w:sz="0" w:space="0" w:color="auto"/>
        <w:left w:val="none" w:sz="0" w:space="0" w:color="auto"/>
        <w:bottom w:val="none" w:sz="0" w:space="0" w:color="auto"/>
        <w:right w:val="none" w:sz="0" w:space="0" w:color="auto"/>
      </w:divBdr>
    </w:div>
    <w:div w:id="1761102656">
      <w:bodyDiv w:val="1"/>
      <w:marLeft w:val="0"/>
      <w:marRight w:val="0"/>
      <w:marTop w:val="0"/>
      <w:marBottom w:val="0"/>
      <w:divBdr>
        <w:top w:val="none" w:sz="0" w:space="0" w:color="auto"/>
        <w:left w:val="none" w:sz="0" w:space="0" w:color="auto"/>
        <w:bottom w:val="none" w:sz="0" w:space="0" w:color="auto"/>
        <w:right w:val="none" w:sz="0" w:space="0" w:color="auto"/>
      </w:divBdr>
    </w:div>
    <w:div w:id="1766851221">
      <w:bodyDiv w:val="1"/>
      <w:marLeft w:val="0"/>
      <w:marRight w:val="0"/>
      <w:marTop w:val="0"/>
      <w:marBottom w:val="0"/>
      <w:divBdr>
        <w:top w:val="none" w:sz="0" w:space="0" w:color="auto"/>
        <w:left w:val="none" w:sz="0" w:space="0" w:color="auto"/>
        <w:bottom w:val="none" w:sz="0" w:space="0" w:color="auto"/>
        <w:right w:val="none" w:sz="0" w:space="0" w:color="auto"/>
      </w:divBdr>
    </w:div>
    <w:div w:id="1769542156">
      <w:bodyDiv w:val="1"/>
      <w:marLeft w:val="0"/>
      <w:marRight w:val="0"/>
      <w:marTop w:val="0"/>
      <w:marBottom w:val="0"/>
      <w:divBdr>
        <w:top w:val="none" w:sz="0" w:space="0" w:color="auto"/>
        <w:left w:val="none" w:sz="0" w:space="0" w:color="auto"/>
        <w:bottom w:val="none" w:sz="0" w:space="0" w:color="auto"/>
        <w:right w:val="none" w:sz="0" w:space="0" w:color="auto"/>
      </w:divBdr>
    </w:div>
    <w:div w:id="1796102459">
      <w:bodyDiv w:val="1"/>
      <w:marLeft w:val="0"/>
      <w:marRight w:val="0"/>
      <w:marTop w:val="0"/>
      <w:marBottom w:val="0"/>
      <w:divBdr>
        <w:top w:val="none" w:sz="0" w:space="0" w:color="auto"/>
        <w:left w:val="none" w:sz="0" w:space="0" w:color="auto"/>
        <w:bottom w:val="none" w:sz="0" w:space="0" w:color="auto"/>
        <w:right w:val="none" w:sz="0" w:space="0" w:color="auto"/>
      </w:divBdr>
    </w:div>
    <w:div w:id="1807507581">
      <w:bodyDiv w:val="1"/>
      <w:marLeft w:val="0"/>
      <w:marRight w:val="0"/>
      <w:marTop w:val="0"/>
      <w:marBottom w:val="0"/>
      <w:divBdr>
        <w:top w:val="none" w:sz="0" w:space="0" w:color="auto"/>
        <w:left w:val="none" w:sz="0" w:space="0" w:color="auto"/>
        <w:bottom w:val="none" w:sz="0" w:space="0" w:color="auto"/>
        <w:right w:val="none" w:sz="0" w:space="0" w:color="auto"/>
      </w:divBdr>
    </w:div>
    <w:div w:id="1843003478">
      <w:bodyDiv w:val="1"/>
      <w:marLeft w:val="0"/>
      <w:marRight w:val="0"/>
      <w:marTop w:val="0"/>
      <w:marBottom w:val="0"/>
      <w:divBdr>
        <w:top w:val="none" w:sz="0" w:space="0" w:color="auto"/>
        <w:left w:val="none" w:sz="0" w:space="0" w:color="auto"/>
        <w:bottom w:val="none" w:sz="0" w:space="0" w:color="auto"/>
        <w:right w:val="none" w:sz="0" w:space="0" w:color="auto"/>
      </w:divBdr>
    </w:div>
    <w:div w:id="1845975153">
      <w:bodyDiv w:val="1"/>
      <w:marLeft w:val="0"/>
      <w:marRight w:val="0"/>
      <w:marTop w:val="0"/>
      <w:marBottom w:val="0"/>
      <w:divBdr>
        <w:top w:val="none" w:sz="0" w:space="0" w:color="auto"/>
        <w:left w:val="none" w:sz="0" w:space="0" w:color="auto"/>
        <w:bottom w:val="none" w:sz="0" w:space="0" w:color="auto"/>
        <w:right w:val="none" w:sz="0" w:space="0" w:color="auto"/>
      </w:divBdr>
    </w:div>
    <w:div w:id="1852599596">
      <w:bodyDiv w:val="1"/>
      <w:marLeft w:val="0"/>
      <w:marRight w:val="0"/>
      <w:marTop w:val="0"/>
      <w:marBottom w:val="0"/>
      <w:divBdr>
        <w:top w:val="none" w:sz="0" w:space="0" w:color="auto"/>
        <w:left w:val="none" w:sz="0" w:space="0" w:color="auto"/>
        <w:bottom w:val="none" w:sz="0" w:space="0" w:color="auto"/>
        <w:right w:val="none" w:sz="0" w:space="0" w:color="auto"/>
      </w:divBdr>
    </w:div>
    <w:div w:id="1853833365">
      <w:bodyDiv w:val="1"/>
      <w:marLeft w:val="0"/>
      <w:marRight w:val="0"/>
      <w:marTop w:val="0"/>
      <w:marBottom w:val="0"/>
      <w:divBdr>
        <w:top w:val="none" w:sz="0" w:space="0" w:color="auto"/>
        <w:left w:val="none" w:sz="0" w:space="0" w:color="auto"/>
        <w:bottom w:val="none" w:sz="0" w:space="0" w:color="auto"/>
        <w:right w:val="none" w:sz="0" w:space="0" w:color="auto"/>
      </w:divBdr>
    </w:div>
    <w:div w:id="1866360101">
      <w:bodyDiv w:val="1"/>
      <w:marLeft w:val="0"/>
      <w:marRight w:val="0"/>
      <w:marTop w:val="0"/>
      <w:marBottom w:val="0"/>
      <w:divBdr>
        <w:top w:val="none" w:sz="0" w:space="0" w:color="auto"/>
        <w:left w:val="none" w:sz="0" w:space="0" w:color="auto"/>
        <w:bottom w:val="none" w:sz="0" w:space="0" w:color="auto"/>
        <w:right w:val="none" w:sz="0" w:space="0" w:color="auto"/>
      </w:divBdr>
    </w:div>
    <w:div w:id="1886258252">
      <w:bodyDiv w:val="1"/>
      <w:marLeft w:val="0"/>
      <w:marRight w:val="0"/>
      <w:marTop w:val="0"/>
      <w:marBottom w:val="0"/>
      <w:divBdr>
        <w:top w:val="none" w:sz="0" w:space="0" w:color="auto"/>
        <w:left w:val="none" w:sz="0" w:space="0" w:color="auto"/>
        <w:bottom w:val="none" w:sz="0" w:space="0" w:color="auto"/>
        <w:right w:val="none" w:sz="0" w:space="0" w:color="auto"/>
      </w:divBdr>
    </w:div>
    <w:div w:id="1888757651">
      <w:bodyDiv w:val="1"/>
      <w:marLeft w:val="0"/>
      <w:marRight w:val="0"/>
      <w:marTop w:val="0"/>
      <w:marBottom w:val="0"/>
      <w:divBdr>
        <w:top w:val="none" w:sz="0" w:space="0" w:color="auto"/>
        <w:left w:val="none" w:sz="0" w:space="0" w:color="auto"/>
        <w:bottom w:val="none" w:sz="0" w:space="0" w:color="auto"/>
        <w:right w:val="none" w:sz="0" w:space="0" w:color="auto"/>
      </w:divBdr>
    </w:div>
    <w:div w:id="1900746525">
      <w:bodyDiv w:val="1"/>
      <w:marLeft w:val="0"/>
      <w:marRight w:val="0"/>
      <w:marTop w:val="0"/>
      <w:marBottom w:val="0"/>
      <w:divBdr>
        <w:top w:val="none" w:sz="0" w:space="0" w:color="auto"/>
        <w:left w:val="none" w:sz="0" w:space="0" w:color="auto"/>
        <w:bottom w:val="none" w:sz="0" w:space="0" w:color="auto"/>
        <w:right w:val="none" w:sz="0" w:space="0" w:color="auto"/>
      </w:divBdr>
    </w:div>
    <w:div w:id="1903103467">
      <w:bodyDiv w:val="1"/>
      <w:marLeft w:val="0"/>
      <w:marRight w:val="0"/>
      <w:marTop w:val="0"/>
      <w:marBottom w:val="0"/>
      <w:divBdr>
        <w:top w:val="none" w:sz="0" w:space="0" w:color="auto"/>
        <w:left w:val="none" w:sz="0" w:space="0" w:color="auto"/>
        <w:bottom w:val="none" w:sz="0" w:space="0" w:color="auto"/>
        <w:right w:val="none" w:sz="0" w:space="0" w:color="auto"/>
      </w:divBdr>
    </w:div>
    <w:div w:id="1922908391">
      <w:bodyDiv w:val="1"/>
      <w:marLeft w:val="0"/>
      <w:marRight w:val="0"/>
      <w:marTop w:val="0"/>
      <w:marBottom w:val="0"/>
      <w:divBdr>
        <w:top w:val="none" w:sz="0" w:space="0" w:color="auto"/>
        <w:left w:val="none" w:sz="0" w:space="0" w:color="auto"/>
        <w:bottom w:val="none" w:sz="0" w:space="0" w:color="auto"/>
        <w:right w:val="none" w:sz="0" w:space="0" w:color="auto"/>
      </w:divBdr>
    </w:div>
    <w:div w:id="1928877139">
      <w:bodyDiv w:val="1"/>
      <w:marLeft w:val="0"/>
      <w:marRight w:val="0"/>
      <w:marTop w:val="0"/>
      <w:marBottom w:val="0"/>
      <w:divBdr>
        <w:top w:val="none" w:sz="0" w:space="0" w:color="auto"/>
        <w:left w:val="none" w:sz="0" w:space="0" w:color="auto"/>
        <w:bottom w:val="none" w:sz="0" w:space="0" w:color="auto"/>
        <w:right w:val="none" w:sz="0" w:space="0" w:color="auto"/>
      </w:divBdr>
    </w:div>
    <w:div w:id="1931305294">
      <w:bodyDiv w:val="1"/>
      <w:marLeft w:val="0"/>
      <w:marRight w:val="0"/>
      <w:marTop w:val="0"/>
      <w:marBottom w:val="0"/>
      <w:divBdr>
        <w:top w:val="none" w:sz="0" w:space="0" w:color="auto"/>
        <w:left w:val="none" w:sz="0" w:space="0" w:color="auto"/>
        <w:bottom w:val="none" w:sz="0" w:space="0" w:color="auto"/>
        <w:right w:val="none" w:sz="0" w:space="0" w:color="auto"/>
      </w:divBdr>
    </w:div>
    <w:div w:id="1959873648">
      <w:bodyDiv w:val="1"/>
      <w:marLeft w:val="0"/>
      <w:marRight w:val="0"/>
      <w:marTop w:val="0"/>
      <w:marBottom w:val="0"/>
      <w:divBdr>
        <w:top w:val="none" w:sz="0" w:space="0" w:color="auto"/>
        <w:left w:val="none" w:sz="0" w:space="0" w:color="auto"/>
        <w:bottom w:val="none" w:sz="0" w:space="0" w:color="auto"/>
        <w:right w:val="none" w:sz="0" w:space="0" w:color="auto"/>
      </w:divBdr>
    </w:div>
    <w:div w:id="1967083384">
      <w:bodyDiv w:val="1"/>
      <w:marLeft w:val="0"/>
      <w:marRight w:val="0"/>
      <w:marTop w:val="0"/>
      <w:marBottom w:val="0"/>
      <w:divBdr>
        <w:top w:val="none" w:sz="0" w:space="0" w:color="auto"/>
        <w:left w:val="none" w:sz="0" w:space="0" w:color="auto"/>
        <w:bottom w:val="none" w:sz="0" w:space="0" w:color="auto"/>
        <w:right w:val="none" w:sz="0" w:space="0" w:color="auto"/>
      </w:divBdr>
    </w:div>
    <w:div w:id="1979801503">
      <w:bodyDiv w:val="1"/>
      <w:marLeft w:val="0"/>
      <w:marRight w:val="0"/>
      <w:marTop w:val="0"/>
      <w:marBottom w:val="0"/>
      <w:divBdr>
        <w:top w:val="none" w:sz="0" w:space="0" w:color="auto"/>
        <w:left w:val="none" w:sz="0" w:space="0" w:color="auto"/>
        <w:bottom w:val="none" w:sz="0" w:space="0" w:color="auto"/>
        <w:right w:val="none" w:sz="0" w:space="0" w:color="auto"/>
      </w:divBdr>
    </w:div>
    <w:div w:id="2002417375">
      <w:bodyDiv w:val="1"/>
      <w:marLeft w:val="0"/>
      <w:marRight w:val="0"/>
      <w:marTop w:val="0"/>
      <w:marBottom w:val="0"/>
      <w:divBdr>
        <w:top w:val="none" w:sz="0" w:space="0" w:color="auto"/>
        <w:left w:val="none" w:sz="0" w:space="0" w:color="auto"/>
        <w:bottom w:val="none" w:sz="0" w:space="0" w:color="auto"/>
        <w:right w:val="none" w:sz="0" w:space="0" w:color="auto"/>
      </w:divBdr>
    </w:div>
    <w:div w:id="2003511148">
      <w:bodyDiv w:val="1"/>
      <w:marLeft w:val="0"/>
      <w:marRight w:val="0"/>
      <w:marTop w:val="0"/>
      <w:marBottom w:val="0"/>
      <w:divBdr>
        <w:top w:val="none" w:sz="0" w:space="0" w:color="auto"/>
        <w:left w:val="none" w:sz="0" w:space="0" w:color="auto"/>
        <w:bottom w:val="none" w:sz="0" w:space="0" w:color="auto"/>
        <w:right w:val="none" w:sz="0" w:space="0" w:color="auto"/>
      </w:divBdr>
    </w:div>
    <w:div w:id="2004039483">
      <w:bodyDiv w:val="1"/>
      <w:marLeft w:val="0"/>
      <w:marRight w:val="0"/>
      <w:marTop w:val="0"/>
      <w:marBottom w:val="0"/>
      <w:divBdr>
        <w:top w:val="none" w:sz="0" w:space="0" w:color="auto"/>
        <w:left w:val="none" w:sz="0" w:space="0" w:color="auto"/>
        <w:bottom w:val="none" w:sz="0" w:space="0" w:color="auto"/>
        <w:right w:val="none" w:sz="0" w:space="0" w:color="auto"/>
      </w:divBdr>
    </w:div>
    <w:div w:id="2005353488">
      <w:bodyDiv w:val="1"/>
      <w:marLeft w:val="0"/>
      <w:marRight w:val="0"/>
      <w:marTop w:val="0"/>
      <w:marBottom w:val="0"/>
      <w:divBdr>
        <w:top w:val="none" w:sz="0" w:space="0" w:color="auto"/>
        <w:left w:val="none" w:sz="0" w:space="0" w:color="auto"/>
        <w:bottom w:val="none" w:sz="0" w:space="0" w:color="auto"/>
        <w:right w:val="none" w:sz="0" w:space="0" w:color="auto"/>
      </w:divBdr>
    </w:div>
    <w:div w:id="2019115804">
      <w:bodyDiv w:val="1"/>
      <w:marLeft w:val="0"/>
      <w:marRight w:val="0"/>
      <w:marTop w:val="0"/>
      <w:marBottom w:val="0"/>
      <w:divBdr>
        <w:top w:val="none" w:sz="0" w:space="0" w:color="auto"/>
        <w:left w:val="none" w:sz="0" w:space="0" w:color="auto"/>
        <w:bottom w:val="none" w:sz="0" w:space="0" w:color="auto"/>
        <w:right w:val="none" w:sz="0" w:space="0" w:color="auto"/>
      </w:divBdr>
    </w:div>
    <w:div w:id="2033719869">
      <w:bodyDiv w:val="1"/>
      <w:marLeft w:val="0"/>
      <w:marRight w:val="0"/>
      <w:marTop w:val="0"/>
      <w:marBottom w:val="0"/>
      <w:divBdr>
        <w:top w:val="none" w:sz="0" w:space="0" w:color="auto"/>
        <w:left w:val="none" w:sz="0" w:space="0" w:color="auto"/>
        <w:bottom w:val="none" w:sz="0" w:space="0" w:color="auto"/>
        <w:right w:val="none" w:sz="0" w:space="0" w:color="auto"/>
      </w:divBdr>
    </w:div>
    <w:div w:id="2042393357">
      <w:bodyDiv w:val="1"/>
      <w:marLeft w:val="0"/>
      <w:marRight w:val="0"/>
      <w:marTop w:val="0"/>
      <w:marBottom w:val="0"/>
      <w:divBdr>
        <w:top w:val="none" w:sz="0" w:space="0" w:color="auto"/>
        <w:left w:val="none" w:sz="0" w:space="0" w:color="auto"/>
        <w:bottom w:val="none" w:sz="0" w:space="0" w:color="auto"/>
        <w:right w:val="none" w:sz="0" w:space="0" w:color="auto"/>
      </w:divBdr>
    </w:div>
    <w:div w:id="2043088763">
      <w:bodyDiv w:val="1"/>
      <w:marLeft w:val="0"/>
      <w:marRight w:val="0"/>
      <w:marTop w:val="0"/>
      <w:marBottom w:val="0"/>
      <w:divBdr>
        <w:top w:val="none" w:sz="0" w:space="0" w:color="auto"/>
        <w:left w:val="none" w:sz="0" w:space="0" w:color="auto"/>
        <w:bottom w:val="none" w:sz="0" w:space="0" w:color="auto"/>
        <w:right w:val="none" w:sz="0" w:space="0" w:color="auto"/>
      </w:divBdr>
    </w:div>
    <w:div w:id="2053266249">
      <w:bodyDiv w:val="1"/>
      <w:marLeft w:val="0"/>
      <w:marRight w:val="0"/>
      <w:marTop w:val="0"/>
      <w:marBottom w:val="0"/>
      <w:divBdr>
        <w:top w:val="none" w:sz="0" w:space="0" w:color="auto"/>
        <w:left w:val="none" w:sz="0" w:space="0" w:color="auto"/>
        <w:bottom w:val="none" w:sz="0" w:space="0" w:color="auto"/>
        <w:right w:val="none" w:sz="0" w:space="0" w:color="auto"/>
      </w:divBdr>
    </w:div>
    <w:div w:id="2067798322">
      <w:bodyDiv w:val="1"/>
      <w:marLeft w:val="0"/>
      <w:marRight w:val="0"/>
      <w:marTop w:val="0"/>
      <w:marBottom w:val="0"/>
      <w:divBdr>
        <w:top w:val="none" w:sz="0" w:space="0" w:color="auto"/>
        <w:left w:val="none" w:sz="0" w:space="0" w:color="auto"/>
        <w:bottom w:val="none" w:sz="0" w:space="0" w:color="auto"/>
        <w:right w:val="none" w:sz="0" w:space="0" w:color="auto"/>
      </w:divBdr>
    </w:div>
    <w:div w:id="2069722411">
      <w:bodyDiv w:val="1"/>
      <w:marLeft w:val="0"/>
      <w:marRight w:val="0"/>
      <w:marTop w:val="0"/>
      <w:marBottom w:val="0"/>
      <w:divBdr>
        <w:top w:val="none" w:sz="0" w:space="0" w:color="auto"/>
        <w:left w:val="none" w:sz="0" w:space="0" w:color="auto"/>
        <w:bottom w:val="none" w:sz="0" w:space="0" w:color="auto"/>
        <w:right w:val="none" w:sz="0" w:space="0" w:color="auto"/>
      </w:divBdr>
    </w:div>
    <w:div w:id="2072725126">
      <w:bodyDiv w:val="1"/>
      <w:marLeft w:val="0"/>
      <w:marRight w:val="0"/>
      <w:marTop w:val="0"/>
      <w:marBottom w:val="0"/>
      <w:divBdr>
        <w:top w:val="none" w:sz="0" w:space="0" w:color="auto"/>
        <w:left w:val="none" w:sz="0" w:space="0" w:color="auto"/>
        <w:bottom w:val="none" w:sz="0" w:space="0" w:color="auto"/>
        <w:right w:val="none" w:sz="0" w:space="0" w:color="auto"/>
      </w:divBdr>
    </w:div>
    <w:div w:id="2090689264">
      <w:bodyDiv w:val="1"/>
      <w:marLeft w:val="0"/>
      <w:marRight w:val="0"/>
      <w:marTop w:val="0"/>
      <w:marBottom w:val="0"/>
      <w:divBdr>
        <w:top w:val="none" w:sz="0" w:space="0" w:color="auto"/>
        <w:left w:val="none" w:sz="0" w:space="0" w:color="auto"/>
        <w:bottom w:val="none" w:sz="0" w:space="0" w:color="auto"/>
        <w:right w:val="none" w:sz="0" w:space="0" w:color="auto"/>
      </w:divBdr>
    </w:div>
    <w:div w:id="2115052628">
      <w:bodyDiv w:val="1"/>
      <w:marLeft w:val="0"/>
      <w:marRight w:val="0"/>
      <w:marTop w:val="0"/>
      <w:marBottom w:val="0"/>
      <w:divBdr>
        <w:top w:val="none" w:sz="0" w:space="0" w:color="auto"/>
        <w:left w:val="none" w:sz="0" w:space="0" w:color="auto"/>
        <w:bottom w:val="none" w:sz="0" w:space="0" w:color="auto"/>
        <w:right w:val="none" w:sz="0" w:space="0" w:color="auto"/>
      </w:divBdr>
    </w:div>
    <w:div w:id="2123725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1</Pages>
  <Words>18340</Words>
  <Characters>104544</Characters>
  <Application>Microsoft Office Word</Application>
  <DocSecurity>0</DocSecurity>
  <Lines>871</Lines>
  <Paragraphs>245</Paragraphs>
  <ScaleCrop>false</ScaleCrop>
  <Company/>
  <LinksUpToDate>false</LinksUpToDate>
  <CharactersWithSpaces>122639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89</cp:revision>
  <cp:lastPrinted>2025-08-28T07:35:00Z</cp:lastPrinted>
  <dcterms:created xsi:type="dcterms:W3CDTF">2025-08-20T02:47:00Z</dcterms:created>
  <dcterms:modified xsi:type="dcterms:W3CDTF">2025-08-28T07:35:00Z</dcterms:modified>
</cp:coreProperties>
</file>